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77BBB" w14:textId="77777777" w:rsidR="000C0755" w:rsidRPr="00763AFE" w:rsidRDefault="00000000">
      <w:pPr>
        <w:tabs>
          <w:tab w:val="center" w:pos="1641"/>
          <w:tab w:val="center" w:pos="5241"/>
          <w:tab w:val="right" w:pos="9325"/>
        </w:tabs>
        <w:spacing w:after="0" w:line="259" w:lineRule="auto"/>
        <w:ind w:left="0" w:firstLine="0"/>
        <w:jc w:val="left"/>
        <w:rPr>
          <w:rFonts w:ascii="Times New Roman" w:hAnsi="Times New Roman" w:cs="Times New Roman"/>
        </w:rPr>
      </w:pPr>
      <w:r w:rsidRPr="00763AFE">
        <w:rPr>
          <w:rFonts w:ascii="Times New Roman" w:eastAsia="Calibri" w:hAnsi="Times New Roman" w:cs="Times New Roman"/>
          <w:color w:val="000000"/>
          <w:sz w:val="22"/>
        </w:rPr>
        <w:tab/>
      </w:r>
      <w:r w:rsidRPr="00763AFE">
        <w:rPr>
          <w:rFonts w:ascii="Times New Roman" w:hAnsi="Times New Roman" w:cs="Times New Roman"/>
          <w:noProof/>
        </w:rPr>
        <w:drawing>
          <wp:inline distT="0" distB="0" distL="0" distR="0" wp14:anchorId="670AAC75" wp14:editId="1F86FA4B">
            <wp:extent cx="1719961" cy="530225"/>
            <wp:effectExtent l="0" t="0" r="0" b="0"/>
            <wp:docPr id="588" name="Picture 588"/>
            <wp:cNvGraphicFramePr/>
            <a:graphic xmlns:a="http://schemas.openxmlformats.org/drawingml/2006/main">
              <a:graphicData uri="http://schemas.openxmlformats.org/drawingml/2006/picture">
                <pic:pic xmlns:pic="http://schemas.openxmlformats.org/drawingml/2006/picture">
                  <pic:nvPicPr>
                    <pic:cNvPr id="588" name="Picture 588"/>
                    <pic:cNvPicPr/>
                  </pic:nvPicPr>
                  <pic:blipFill>
                    <a:blip r:embed="rId7"/>
                    <a:stretch>
                      <a:fillRect/>
                    </a:stretch>
                  </pic:blipFill>
                  <pic:spPr>
                    <a:xfrm>
                      <a:off x="0" y="0"/>
                      <a:ext cx="1719961" cy="530225"/>
                    </a:xfrm>
                    <a:prstGeom prst="rect">
                      <a:avLst/>
                    </a:prstGeom>
                  </pic:spPr>
                </pic:pic>
              </a:graphicData>
            </a:graphic>
          </wp:inline>
        </w:drawing>
      </w:r>
      <w:r w:rsidRPr="00763AFE">
        <w:rPr>
          <w:rFonts w:ascii="Times New Roman" w:eastAsia="Times New Roman" w:hAnsi="Times New Roman" w:cs="Times New Roman"/>
          <w:color w:val="000000"/>
        </w:rPr>
        <w:t xml:space="preserve"> </w:t>
      </w:r>
      <w:r w:rsidRPr="00763AFE">
        <w:rPr>
          <w:rFonts w:ascii="Times New Roman" w:eastAsia="Times New Roman" w:hAnsi="Times New Roman" w:cs="Times New Roman"/>
          <w:color w:val="000000"/>
        </w:rPr>
        <w:tab/>
      </w:r>
      <w:r w:rsidRPr="00763AFE">
        <w:rPr>
          <w:rFonts w:ascii="Times New Roman" w:hAnsi="Times New Roman" w:cs="Times New Roman"/>
          <w:noProof/>
        </w:rPr>
        <w:drawing>
          <wp:inline distT="0" distB="0" distL="0" distR="0" wp14:anchorId="183CD768" wp14:editId="7120612F">
            <wp:extent cx="1250950" cy="1261631"/>
            <wp:effectExtent l="0" t="0" r="0" b="0"/>
            <wp:docPr id="590" name="Picture 590"/>
            <wp:cNvGraphicFramePr/>
            <a:graphic xmlns:a="http://schemas.openxmlformats.org/drawingml/2006/main">
              <a:graphicData uri="http://schemas.openxmlformats.org/drawingml/2006/picture">
                <pic:pic xmlns:pic="http://schemas.openxmlformats.org/drawingml/2006/picture">
                  <pic:nvPicPr>
                    <pic:cNvPr id="590" name="Picture 590"/>
                    <pic:cNvPicPr/>
                  </pic:nvPicPr>
                  <pic:blipFill>
                    <a:blip r:embed="rId8"/>
                    <a:stretch>
                      <a:fillRect/>
                    </a:stretch>
                  </pic:blipFill>
                  <pic:spPr>
                    <a:xfrm>
                      <a:off x="0" y="0"/>
                      <a:ext cx="1250950" cy="1261631"/>
                    </a:xfrm>
                    <a:prstGeom prst="rect">
                      <a:avLst/>
                    </a:prstGeom>
                  </pic:spPr>
                </pic:pic>
              </a:graphicData>
            </a:graphic>
          </wp:inline>
        </w:drawing>
      </w:r>
      <w:r w:rsidRPr="00763AFE">
        <w:rPr>
          <w:rFonts w:ascii="Times New Roman" w:eastAsia="Times New Roman" w:hAnsi="Times New Roman" w:cs="Times New Roman"/>
          <w:color w:val="000000"/>
        </w:rPr>
        <w:t xml:space="preserve"> </w:t>
      </w:r>
      <w:r w:rsidRPr="00763AFE">
        <w:rPr>
          <w:rFonts w:ascii="Times New Roman" w:eastAsia="Times New Roman" w:hAnsi="Times New Roman" w:cs="Times New Roman"/>
          <w:color w:val="000000"/>
        </w:rPr>
        <w:tab/>
      </w:r>
      <w:r w:rsidRPr="00763AFE">
        <w:rPr>
          <w:rFonts w:ascii="Times New Roman" w:hAnsi="Times New Roman" w:cs="Times New Roman"/>
          <w:noProof/>
        </w:rPr>
        <w:drawing>
          <wp:inline distT="0" distB="0" distL="0" distR="0" wp14:anchorId="023D2EF4" wp14:editId="003F0942">
            <wp:extent cx="639445" cy="907783"/>
            <wp:effectExtent l="0" t="0" r="0" b="0"/>
            <wp:docPr id="592" name="Picture 592"/>
            <wp:cNvGraphicFramePr/>
            <a:graphic xmlns:a="http://schemas.openxmlformats.org/drawingml/2006/main">
              <a:graphicData uri="http://schemas.openxmlformats.org/drawingml/2006/picture">
                <pic:pic xmlns:pic="http://schemas.openxmlformats.org/drawingml/2006/picture">
                  <pic:nvPicPr>
                    <pic:cNvPr id="592" name="Picture 592"/>
                    <pic:cNvPicPr/>
                  </pic:nvPicPr>
                  <pic:blipFill>
                    <a:blip r:embed="rId9"/>
                    <a:stretch>
                      <a:fillRect/>
                    </a:stretch>
                  </pic:blipFill>
                  <pic:spPr>
                    <a:xfrm>
                      <a:off x="0" y="0"/>
                      <a:ext cx="639445" cy="907783"/>
                    </a:xfrm>
                    <a:prstGeom prst="rect">
                      <a:avLst/>
                    </a:prstGeom>
                  </pic:spPr>
                </pic:pic>
              </a:graphicData>
            </a:graphic>
          </wp:inline>
        </w:drawing>
      </w:r>
      <w:r w:rsidRPr="00763AFE">
        <w:rPr>
          <w:rFonts w:ascii="Times New Roman" w:eastAsia="Times New Roman" w:hAnsi="Times New Roman" w:cs="Times New Roman"/>
          <w:color w:val="000000"/>
        </w:rPr>
        <w:t xml:space="preserve"> </w:t>
      </w:r>
    </w:p>
    <w:p w14:paraId="7042A087" w14:textId="77777777" w:rsidR="000C0755" w:rsidRPr="00763AFE" w:rsidRDefault="00000000">
      <w:pPr>
        <w:spacing w:after="310" w:line="241" w:lineRule="auto"/>
        <w:ind w:left="0" w:right="9276" w:firstLine="0"/>
        <w:jc w:val="left"/>
        <w:rPr>
          <w:rFonts w:ascii="Times New Roman" w:hAnsi="Times New Roman" w:cs="Times New Roman"/>
        </w:rPr>
      </w:pPr>
      <w:r w:rsidRPr="00763AFE">
        <w:rPr>
          <w:rFonts w:ascii="Times New Roman" w:eastAsia="Times New Roman" w:hAnsi="Times New Roman" w:cs="Times New Roman"/>
          <w:color w:val="000000"/>
        </w:rPr>
        <w:t xml:space="preserve"> </w:t>
      </w:r>
      <w:r w:rsidRPr="00763AFE">
        <w:rPr>
          <w:rFonts w:ascii="Times New Roman" w:eastAsia="Times New Roman" w:hAnsi="Times New Roman" w:cs="Times New Roman"/>
          <w:color w:val="000000"/>
          <w:sz w:val="19"/>
        </w:rPr>
        <w:t xml:space="preserve"> </w:t>
      </w:r>
    </w:p>
    <w:p w14:paraId="471554F4" w14:textId="77777777" w:rsidR="000C0755" w:rsidRPr="00763AFE" w:rsidRDefault="00000000">
      <w:pPr>
        <w:pBdr>
          <w:top w:val="single" w:sz="4" w:space="0" w:color="000000"/>
          <w:left w:val="single" w:sz="4" w:space="0" w:color="000000"/>
          <w:bottom w:val="single" w:sz="4" w:space="0" w:color="000000"/>
          <w:right w:val="single" w:sz="4" w:space="0" w:color="000000"/>
        </w:pBdr>
        <w:spacing w:after="0" w:line="259" w:lineRule="auto"/>
        <w:ind w:left="177" w:firstLine="0"/>
        <w:jc w:val="center"/>
        <w:rPr>
          <w:rFonts w:ascii="Times New Roman" w:hAnsi="Times New Roman" w:cs="Times New Roman"/>
        </w:rPr>
      </w:pPr>
      <w:r w:rsidRPr="00763AFE">
        <w:rPr>
          <w:rFonts w:ascii="Times New Roman" w:eastAsia="Calibri" w:hAnsi="Times New Roman" w:cs="Times New Roman"/>
          <w:b/>
          <w:color w:val="000000"/>
          <w:sz w:val="44"/>
        </w:rPr>
        <w:t xml:space="preserve">Droit des obligations II </w:t>
      </w:r>
    </w:p>
    <w:p w14:paraId="1868DC80" w14:textId="77777777" w:rsidR="000C0755" w:rsidRPr="00763AFE" w:rsidRDefault="00000000">
      <w:pPr>
        <w:spacing w:after="108" w:line="259" w:lineRule="auto"/>
        <w:ind w:left="0" w:firstLine="0"/>
        <w:jc w:val="left"/>
        <w:rPr>
          <w:rFonts w:ascii="Times New Roman" w:hAnsi="Times New Roman" w:cs="Times New Roman"/>
        </w:rPr>
      </w:pPr>
      <w:r w:rsidRPr="00763AFE">
        <w:rPr>
          <w:rFonts w:ascii="Times New Roman" w:eastAsia="Times New Roman" w:hAnsi="Times New Roman" w:cs="Times New Roman"/>
          <w:color w:val="000000"/>
          <w:sz w:val="15"/>
        </w:rPr>
        <w:t xml:space="preserve"> </w:t>
      </w:r>
    </w:p>
    <w:p w14:paraId="09DFD566" w14:textId="77777777" w:rsidR="000C0755" w:rsidRPr="00763AFE" w:rsidRDefault="00000000">
      <w:pPr>
        <w:spacing w:after="36" w:line="259" w:lineRule="auto"/>
        <w:ind w:left="10" w:right="12"/>
        <w:jc w:val="right"/>
        <w:rPr>
          <w:rFonts w:ascii="Times New Roman" w:hAnsi="Times New Roman" w:cs="Times New Roman"/>
        </w:rPr>
      </w:pPr>
      <w:r w:rsidRPr="00763AFE">
        <w:rPr>
          <w:rFonts w:ascii="Times New Roman" w:eastAsia="Calibri" w:hAnsi="Times New Roman" w:cs="Times New Roman"/>
          <w:color w:val="000000"/>
          <w:sz w:val="22"/>
        </w:rPr>
        <w:t xml:space="preserve">Cours de M. Stéphane BRENA </w:t>
      </w:r>
    </w:p>
    <w:p w14:paraId="6B0A54B0" w14:textId="23B07B15" w:rsidR="000C0755" w:rsidRPr="00763AFE" w:rsidRDefault="00000000">
      <w:pPr>
        <w:spacing w:after="0" w:line="259" w:lineRule="auto"/>
        <w:ind w:left="10" w:right="12"/>
        <w:jc w:val="right"/>
        <w:rPr>
          <w:rFonts w:ascii="Times New Roman" w:hAnsi="Times New Roman" w:cs="Times New Roman"/>
        </w:rPr>
      </w:pPr>
      <w:r w:rsidRPr="00763AFE">
        <w:rPr>
          <w:rFonts w:ascii="Times New Roman" w:eastAsia="Calibri" w:hAnsi="Times New Roman" w:cs="Times New Roman"/>
          <w:color w:val="000000"/>
          <w:sz w:val="22"/>
        </w:rPr>
        <w:t>TD de M.</w:t>
      </w:r>
      <w:r w:rsidR="00C27999">
        <w:rPr>
          <w:rFonts w:ascii="Times New Roman" w:eastAsia="Calibri" w:hAnsi="Times New Roman" w:cs="Times New Roman"/>
          <w:color w:val="000000"/>
          <w:sz w:val="22"/>
        </w:rPr>
        <w:t xml:space="preserve"> Emmanuel</w:t>
      </w:r>
      <w:r w:rsidRPr="00763AFE">
        <w:rPr>
          <w:rFonts w:ascii="Times New Roman" w:eastAsia="Calibri" w:hAnsi="Times New Roman" w:cs="Times New Roman"/>
          <w:color w:val="000000"/>
          <w:sz w:val="22"/>
        </w:rPr>
        <w:t xml:space="preserve"> </w:t>
      </w:r>
      <w:r w:rsidR="00C27999">
        <w:rPr>
          <w:rFonts w:ascii="Times New Roman" w:eastAsia="Calibri" w:hAnsi="Times New Roman" w:cs="Times New Roman"/>
          <w:color w:val="000000"/>
          <w:sz w:val="22"/>
        </w:rPr>
        <w:t>DERCOURT</w:t>
      </w:r>
      <w:r w:rsidRPr="00763AFE">
        <w:rPr>
          <w:rFonts w:ascii="Times New Roman" w:eastAsia="Calibri" w:hAnsi="Times New Roman" w:cs="Times New Roman"/>
          <w:color w:val="000000"/>
          <w:sz w:val="22"/>
        </w:rPr>
        <w:t xml:space="preserve"> </w:t>
      </w:r>
    </w:p>
    <w:p w14:paraId="065FCB58" w14:textId="77777777" w:rsidR="000C0755" w:rsidRPr="00763AFE" w:rsidRDefault="00000000">
      <w:pPr>
        <w:spacing w:after="340" w:line="259" w:lineRule="auto"/>
        <w:ind w:left="0" w:firstLine="0"/>
        <w:jc w:val="left"/>
        <w:rPr>
          <w:rFonts w:ascii="Times New Roman" w:hAnsi="Times New Roman" w:cs="Times New Roman"/>
        </w:rPr>
      </w:pPr>
      <w:r w:rsidRPr="00763AFE">
        <w:rPr>
          <w:rFonts w:ascii="Times New Roman" w:eastAsia="Calibri" w:hAnsi="Times New Roman" w:cs="Times New Roman"/>
          <w:color w:val="000000"/>
          <w:sz w:val="22"/>
        </w:rPr>
        <w:t xml:space="preserve"> </w:t>
      </w:r>
    </w:p>
    <w:p w14:paraId="785E5754" w14:textId="110DA130" w:rsidR="000C0755" w:rsidRPr="00763AFE" w:rsidRDefault="00000000" w:rsidP="000303E3">
      <w:pPr>
        <w:spacing w:after="0" w:line="259" w:lineRule="auto"/>
        <w:ind w:left="185" w:firstLine="0"/>
        <w:jc w:val="center"/>
        <w:rPr>
          <w:rFonts w:ascii="Times New Roman" w:hAnsi="Times New Roman" w:cs="Times New Roman"/>
        </w:rPr>
      </w:pPr>
      <w:r w:rsidRPr="00763AFE">
        <w:rPr>
          <w:rFonts w:ascii="Times New Roman" w:eastAsia="Calibri" w:hAnsi="Times New Roman" w:cs="Times New Roman"/>
          <w:b/>
          <w:color w:val="000000"/>
          <w:sz w:val="40"/>
          <w:u w:val="single" w:color="000000"/>
        </w:rPr>
        <w:t>Séance 7 : Le lien de causalité</w:t>
      </w:r>
      <w:r w:rsidRPr="00763AFE">
        <w:rPr>
          <w:rFonts w:ascii="Times New Roman" w:eastAsia="Calibri" w:hAnsi="Times New Roman" w:cs="Times New Roman"/>
          <w:b/>
          <w:color w:val="000000"/>
          <w:sz w:val="40"/>
        </w:rPr>
        <w:t xml:space="preserve"> </w:t>
      </w:r>
    </w:p>
    <w:p w14:paraId="4DF19506" w14:textId="6A3E5920" w:rsidR="000C0755" w:rsidRDefault="00000000" w:rsidP="00C27999">
      <w:pPr>
        <w:spacing w:after="0" w:line="259" w:lineRule="auto"/>
        <w:ind w:left="0" w:firstLine="0"/>
        <w:jc w:val="left"/>
        <w:rPr>
          <w:rFonts w:ascii="Times New Roman" w:hAnsi="Times New Roman" w:cs="Times New Roman"/>
        </w:rPr>
      </w:pPr>
      <w:r w:rsidRPr="00763AFE">
        <w:rPr>
          <w:rFonts w:ascii="Times New Roman" w:eastAsia="Calibri" w:hAnsi="Times New Roman" w:cs="Times New Roman"/>
          <w:b/>
          <w:color w:val="000000"/>
        </w:rPr>
        <w:t xml:space="preserve"> </w:t>
      </w:r>
    </w:p>
    <w:p w14:paraId="5AB66EE2" w14:textId="77777777" w:rsidR="00C27999" w:rsidRPr="00763AFE" w:rsidRDefault="00C27999" w:rsidP="00C27999">
      <w:pPr>
        <w:spacing w:after="0" w:line="259" w:lineRule="auto"/>
        <w:ind w:left="0" w:firstLine="0"/>
        <w:jc w:val="left"/>
        <w:rPr>
          <w:rFonts w:ascii="Times New Roman" w:hAnsi="Times New Roman" w:cs="Times New Roman"/>
        </w:rPr>
      </w:pPr>
    </w:p>
    <w:p w14:paraId="47EEF82C" w14:textId="77777777" w:rsidR="000C0755" w:rsidRPr="00763AFE" w:rsidRDefault="00000000">
      <w:pPr>
        <w:pStyle w:val="Titre1"/>
        <w:ind w:left="1281" w:hanging="720"/>
        <w:rPr>
          <w:rFonts w:ascii="Times New Roman" w:hAnsi="Times New Roman" w:cs="Times New Roman"/>
          <w:szCs w:val="28"/>
        </w:rPr>
      </w:pPr>
      <w:r w:rsidRPr="00763AFE">
        <w:rPr>
          <w:rFonts w:ascii="Times New Roman" w:hAnsi="Times New Roman" w:cs="Times New Roman"/>
          <w:szCs w:val="28"/>
        </w:rPr>
        <w:t>Théorie de la causalité adéquate</w:t>
      </w:r>
      <w:r w:rsidRPr="00763AFE">
        <w:rPr>
          <w:rFonts w:ascii="Times New Roman" w:hAnsi="Times New Roman" w:cs="Times New Roman"/>
          <w:szCs w:val="28"/>
          <w:u w:val="none"/>
        </w:rPr>
        <w:t xml:space="preserve"> </w:t>
      </w:r>
    </w:p>
    <w:p w14:paraId="35B38687" w14:textId="77777777" w:rsidR="000C0755" w:rsidRPr="00763AFE" w:rsidRDefault="00000000">
      <w:pPr>
        <w:spacing w:after="160" w:line="259" w:lineRule="auto"/>
        <w:ind w:left="0" w:firstLine="0"/>
        <w:jc w:val="left"/>
        <w:rPr>
          <w:rFonts w:ascii="Times New Roman" w:hAnsi="Times New Roman" w:cs="Times New Roman"/>
          <w:sz w:val="24"/>
        </w:rPr>
      </w:pPr>
      <w:r w:rsidRPr="00763AFE">
        <w:rPr>
          <w:rFonts w:ascii="Times New Roman" w:eastAsia="Calibri" w:hAnsi="Times New Roman" w:cs="Times New Roman"/>
          <w:b/>
          <w:color w:val="000000"/>
          <w:sz w:val="24"/>
        </w:rPr>
        <w:t xml:space="preserve"> </w:t>
      </w:r>
    </w:p>
    <w:p w14:paraId="433CBB04" w14:textId="77777777" w:rsidR="000C0755" w:rsidRPr="00763AFE" w:rsidRDefault="00000000" w:rsidP="00763AFE">
      <w:pPr>
        <w:jc w:val="left"/>
        <w:rPr>
          <w:rFonts w:ascii="Times New Roman" w:hAnsi="Times New Roman" w:cs="Times New Roman"/>
          <w:sz w:val="24"/>
        </w:rPr>
      </w:pPr>
      <w:r w:rsidRPr="00763AFE">
        <w:rPr>
          <w:rFonts w:ascii="Times New Roman" w:eastAsia="Calibri" w:hAnsi="Times New Roman" w:cs="Times New Roman"/>
          <w:b/>
          <w:color w:val="000000"/>
          <w:sz w:val="24"/>
          <w:u w:val="single" w:color="000000"/>
        </w:rPr>
        <w:t xml:space="preserve">Document 1 - Cass. </w:t>
      </w:r>
      <w:proofErr w:type="spellStart"/>
      <w:r w:rsidRPr="00763AFE">
        <w:rPr>
          <w:rFonts w:ascii="Times New Roman" w:eastAsia="Calibri" w:hAnsi="Times New Roman" w:cs="Times New Roman"/>
          <w:b/>
          <w:color w:val="000000"/>
          <w:sz w:val="24"/>
          <w:u w:val="single" w:color="000000"/>
        </w:rPr>
        <w:t>Civ</w:t>
      </w:r>
      <w:proofErr w:type="spellEnd"/>
      <w:r w:rsidRPr="00763AFE">
        <w:rPr>
          <w:rFonts w:ascii="Times New Roman" w:eastAsia="Calibri" w:hAnsi="Times New Roman" w:cs="Times New Roman"/>
          <w:b/>
          <w:color w:val="000000"/>
          <w:sz w:val="24"/>
          <w:u w:val="single" w:color="000000"/>
        </w:rPr>
        <w:t>. 2e, 7 décembre 1988, n° 87-18917, Bull. civ. II, n° 246</w:t>
      </w:r>
      <w:r w:rsidRPr="00763AFE">
        <w:rPr>
          <w:rFonts w:ascii="Times New Roman" w:eastAsia="Calibri" w:hAnsi="Times New Roman" w:cs="Times New Roman"/>
          <w:b/>
          <w:color w:val="000000"/>
          <w:sz w:val="24"/>
        </w:rPr>
        <w:t xml:space="preserve"> </w:t>
      </w:r>
    </w:p>
    <w:p w14:paraId="0BDF575B" w14:textId="77777777" w:rsidR="000C0755" w:rsidRPr="00763AFE" w:rsidRDefault="00000000">
      <w:pPr>
        <w:spacing w:after="100" w:line="259" w:lineRule="auto"/>
        <w:ind w:left="0" w:firstLine="0"/>
        <w:jc w:val="left"/>
        <w:rPr>
          <w:rFonts w:ascii="Times New Roman" w:hAnsi="Times New Roman" w:cs="Times New Roman"/>
          <w:sz w:val="24"/>
        </w:rPr>
      </w:pPr>
      <w:r w:rsidRPr="00763AFE">
        <w:rPr>
          <w:rFonts w:ascii="Times New Roman" w:eastAsia="Calibri" w:hAnsi="Times New Roman" w:cs="Times New Roman"/>
          <w:b/>
          <w:color w:val="000000"/>
          <w:sz w:val="24"/>
        </w:rPr>
        <w:t xml:space="preserve"> </w:t>
      </w:r>
    </w:p>
    <w:p w14:paraId="7C96B4B8" w14:textId="22276C3D" w:rsidR="000C0755" w:rsidRPr="00763AFE" w:rsidRDefault="00000000" w:rsidP="00763AFE">
      <w:pPr>
        <w:ind w:left="211" w:right="26"/>
        <w:rPr>
          <w:rFonts w:ascii="Times New Roman" w:hAnsi="Times New Roman" w:cs="Times New Roman"/>
          <w:sz w:val="24"/>
        </w:rPr>
      </w:pPr>
      <w:r w:rsidRPr="00763AFE">
        <w:rPr>
          <w:rFonts w:ascii="Times New Roman" w:hAnsi="Times New Roman" w:cs="Times New Roman"/>
          <w:sz w:val="24"/>
        </w:rPr>
        <w:t>Sur le moyen unique :</w:t>
      </w:r>
      <w:r w:rsidRPr="00763AFE">
        <w:rPr>
          <w:rFonts w:ascii="Times New Roman" w:hAnsi="Times New Roman" w:cs="Times New Roman"/>
          <w:color w:val="000000"/>
          <w:sz w:val="24"/>
        </w:rPr>
        <w:t xml:space="preserve"> </w:t>
      </w:r>
    </w:p>
    <w:p w14:paraId="3CA00176" w14:textId="77777777" w:rsidR="000C0755" w:rsidRPr="00763AFE" w:rsidRDefault="00000000">
      <w:pPr>
        <w:spacing w:after="12" w:line="259" w:lineRule="auto"/>
        <w:ind w:left="0" w:firstLine="0"/>
        <w:jc w:val="left"/>
        <w:rPr>
          <w:rFonts w:ascii="Times New Roman" w:hAnsi="Times New Roman" w:cs="Times New Roman"/>
          <w:sz w:val="24"/>
        </w:rPr>
      </w:pPr>
      <w:r w:rsidRPr="00763AFE">
        <w:rPr>
          <w:rFonts w:ascii="Times New Roman" w:hAnsi="Times New Roman" w:cs="Times New Roman"/>
          <w:color w:val="000000"/>
          <w:sz w:val="24"/>
        </w:rPr>
        <w:t xml:space="preserve"> </w:t>
      </w:r>
    </w:p>
    <w:p w14:paraId="6164E70E" w14:textId="77777777" w:rsidR="000C0755" w:rsidRPr="00763AFE" w:rsidRDefault="00000000">
      <w:pPr>
        <w:ind w:left="211" w:right="26"/>
        <w:rPr>
          <w:rFonts w:ascii="Times New Roman" w:hAnsi="Times New Roman" w:cs="Times New Roman"/>
          <w:sz w:val="24"/>
        </w:rPr>
      </w:pPr>
      <w:r w:rsidRPr="00763AFE">
        <w:rPr>
          <w:rFonts w:ascii="Times New Roman" w:hAnsi="Times New Roman" w:cs="Times New Roman"/>
          <w:sz w:val="24"/>
        </w:rPr>
        <w:t>Vu l'article 1382 du Code civil ;</w:t>
      </w:r>
      <w:r w:rsidRPr="00763AFE">
        <w:rPr>
          <w:rFonts w:ascii="Times New Roman" w:hAnsi="Times New Roman" w:cs="Times New Roman"/>
          <w:color w:val="000000"/>
          <w:sz w:val="24"/>
        </w:rPr>
        <w:t xml:space="preserve"> </w:t>
      </w:r>
    </w:p>
    <w:p w14:paraId="7700E018"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hAnsi="Times New Roman" w:cs="Times New Roman"/>
          <w:color w:val="000000"/>
          <w:sz w:val="24"/>
        </w:rPr>
        <w:t xml:space="preserve"> </w:t>
      </w:r>
    </w:p>
    <w:p w14:paraId="77A1FB04" w14:textId="77777777" w:rsidR="000C0755" w:rsidRPr="00763AFE" w:rsidRDefault="00000000">
      <w:pPr>
        <w:ind w:left="211" w:right="26"/>
        <w:rPr>
          <w:rFonts w:ascii="Times New Roman" w:hAnsi="Times New Roman" w:cs="Times New Roman"/>
          <w:sz w:val="24"/>
        </w:rPr>
      </w:pPr>
      <w:r w:rsidRPr="00763AFE">
        <w:rPr>
          <w:rFonts w:ascii="Times New Roman" w:hAnsi="Times New Roman" w:cs="Times New Roman"/>
          <w:sz w:val="24"/>
        </w:rPr>
        <w:t>Attendu que la responsabilité instituée par ce texte suppose un rapport de causalité certain entre la faute et le dommage ;</w:t>
      </w:r>
      <w:r w:rsidRPr="00763AFE">
        <w:rPr>
          <w:rFonts w:ascii="Times New Roman" w:hAnsi="Times New Roman" w:cs="Times New Roman"/>
          <w:color w:val="000000"/>
          <w:sz w:val="24"/>
        </w:rPr>
        <w:t xml:space="preserve"> </w:t>
      </w:r>
    </w:p>
    <w:p w14:paraId="1C27C3DD"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hAnsi="Times New Roman" w:cs="Times New Roman"/>
          <w:color w:val="000000"/>
          <w:sz w:val="24"/>
        </w:rPr>
        <w:t xml:space="preserve"> </w:t>
      </w:r>
    </w:p>
    <w:p w14:paraId="3C91AF0E" w14:textId="77777777" w:rsidR="000C0755" w:rsidRPr="00763AFE" w:rsidRDefault="00000000">
      <w:pPr>
        <w:ind w:left="211" w:right="26"/>
        <w:rPr>
          <w:rFonts w:ascii="Times New Roman" w:hAnsi="Times New Roman" w:cs="Times New Roman"/>
          <w:sz w:val="24"/>
        </w:rPr>
      </w:pPr>
      <w:r w:rsidRPr="00763AFE">
        <w:rPr>
          <w:rFonts w:ascii="Times New Roman" w:hAnsi="Times New Roman" w:cs="Times New Roman"/>
          <w:sz w:val="24"/>
        </w:rPr>
        <w:t xml:space="preserve">Attendu, selon le jugement attaqué rendu en dernier ressort, que M. </w:t>
      </w:r>
      <w:proofErr w:type="gramStart"/>
      <w:r w:rsidRPr="00763AFE">
        <w:rPr>
          <w:rFonts w:ascii="Times New Roman" w:hAnsi="Times New Roman" w:cs="Times New Roman"/>
          <w:sz w:val="24"/>
        </w:rPr>
        <w:t>X...</w:t>
      </w:r>
      <w:proofErr w:type="gramEnd"/>
      <w:r w:rsidRPr="00763AFE">
        <w:rPr>
          <w:rFonts w:ascii="Times New Roman" w:hAnsi="Times New Roman" w:cs="Times New Roman"/>
          <w:sz w:val="24"/>
        </w:rPr>
        <w:t xml:space="preserve"> ayant oublié dans une cabine téléphonique une sacoche contenant un carnet de chèques, un tiers s'en empara et émit frauduleusement trois chèques à l'ordre de la société Avignon-Distribution (la société) demeurés impayés par suite de l'opposition faite à la banque par M. X..., que la société demanda à celui-ci la réparation de son préjudice ;</w:t>
      </w:r>
      <w:r w:rsidRPr="00763AFE">
        <w:rPr>
          <w:rFonts w:ascii="Times New Roman" w:hAnsi="Times New Roman" w:cs="Times New Roman"/>
          <w:color w:val="000000"/>
          <w:sz w:val="24"/>
        </w:rPr>
        <w:t xml:space="preserve"> </w:t>
      </w:r>
    </w:p>
    <w:p w14:paraId="3BF587A6"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hAnsi="Times New Roman" w:cs="Times New Roman"/>
          <w:color w:val="000000"/>
          <w:sz w:val="24"/>
        </w:rPr>
        <w:t xml:space="preserve"> </w:t>
      </w:r>
    </w:p>
    <w:p w14:paraId="5561C3CB" w14:textId="77777777" w:rsidR="000C0755" w:rsidRPr="00763AFE" w:rsidRDefault="00000000">
      <w:pPr>
        <w:ind w:left="211" w:right="26"/>
        <w:rPr>
          <w:rFonts w:ascii="Times New Roman" w:hAnsi="Times New Roman" w:cs="Times New Roman"/>
          <w:sz w:val="24"/>
        </w:rPr>
      </w:pPr>
      <w:r w:rsidRPr="00763AFE">
        <w:rPr>
          <w:rFonts w:ascii="Times New Roman" w:hAnsi="Times New Roman" w:cs="Times New Roman"/>
          <w:sz w:val="24"/>
        </w:rPr>
        <w:t xml:space="preserve">Attendu que, pour déclarer M. </w:t>
      </w:r>
      <w:proofErr w:type="gramStart"/>
      <w:r w:rsidRPr="00763AFE">
        <w:rPr>
          <w:rFonts w:ascii="Times New Roman" w:hAnsi="Times New Roman" w:cs="Times New Roman"/>
          <w:sz w:val="24"/>
        </w:rPr>
        <w:t>X...</w:t>
      </w:r>
      <w:proofErr w:type="gramEnd"/>
      <w:r w:rsidRPr="00763AFE">
        <w:rPr>
          <w:rFonts w:ascii="Times New Roman" w:hAnsi="Times New Roman" w:cs="Times New Roman"/>
          <w:sz w:val="24"/>
        </w:rPr>
        <w:t xml:space="preserve"> responsable pour partie du dommage subi par la société, le jugement énonce qu'en égarant sa sacoche renfermant un carnet de chèques, M. X... a commis une imprudence ou une négligence fautive qui est à l'origine du vol du chéquier et de l'émission des chèques ;</w:t>
      </w:r>
      <w:r w:rsidRPr="00763AFE">
        <w:rPr>
          <w:rFonts w:ascii="Times New Roman" w:hAnsi="Times New Roman" w:cs="Times New Roman"/>
          <w:color w:val="000000"/>
          <w:sz w:val="24"/>
        </w:rPr>
        <w:t xml:space="preserve"> </w:t>
      </w:r>
    </w:p>
    <w:p w14:paraId="22A13071"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hAnsi="Times New Roman" w:cs="Times New Roman"/>
          <w:color w:val="000000"/>
          <w:sz w:val="24"/>
        </w:rPr>
        <w:t xml:space="preserve"> </w:t>
      </w:r>
    </w:p>
    <w:p w14:paraId="1CCC35E5" w14:textId="77777777" w:rsidR="000C0755" w:rsidRPr="00763AFE" w:rsidRDefault="00000000">
      <w:pPr>
        <w:ind w:left="211" w:right="26"/>
        <w:rPr>
          <w:rFonts w:ascii="Times New Roman" w:hAnsi="Times New Roman" w:cs="Times New Roman"/>
          <w:sz w:val="24"/>
        </w:rPr>
      </w:pPr>
      <w:r w:rsidRPr="00763AFE">
        <w:rPr>
          <w:rFonts w:ascii="Times New Roman" w:hAnsi="Times New Roman" w:cs="Times New Roman"/>
          <w:sz w:val="24"/>
        </w:rPr>
        <w:t xml:space="preserve">Qu'en statuant ainsi alors que la négligence imputée à M. </w:t>
      </w:r>
      <w:proofErr w:type="gramStart"/>
      <w:r w:rsidRPr="00763AFE">
        <w:rPr>
          <w:rFonts w:ascii="Times New Roman" w:hAnsi="Times New Roman" w:cs="Times New Roman"/>
          <w:sz w:val="24"/>
        </w:rPr>
        <w:t>X...</w:t>
      </w:r>
      <w:proofErr w:type="gramEnd"/>
      <w:r w:rsidRPr="00763AFE">
        <w:rPr>
          <w:rFonts w:ascii="Times New Roman" w:hAnsi="Times New Roman" w:cs="Times New Roman"/>
          <w:sz w:val="24"/>
        </w:rPr>
        <w:t xml:space="preserve"> était sans lien direct de cause à effet avec le préjudice subi par la société, la cour d'appel a violé le texte susvisé ;</w:t>
      </w:r>
      <w:r w:rsidRPr="00763AFE">
        <w:rPr>
          <w:rFonts w:ascii="Times New Roman" w:hAnsi="Times New Roman" w:cs="Times New Roman"/>
          <w:color w:val="000000"/>
          <w:sz w:val="24"/>
        </w:rPr>
        <w:t xml:space="preserve"> </w:t>
      </w:r>
    </w:p>
    <w:p w14:paraId="613C59AC"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hAnsi="Times New Roman" w:cs="Times New Roman"/>
          <w:color w:val="000000"/>
          <w:sz w:val="24"/>
        </w:rPr>
        <w:t xml:space="preserve"> </w:t>
      </w:r>
    </w:p>
    <w:p w14:paraId="63490043" w14:textId="77777777" w:rsidR="000C0755" w:rsidRPr="00763AFE" w:rsidRDefault="00000000">
      <w:pPr>
        <w:spacing w:after="219"/>
        <w:ind w:left="211" w:right="26"/>
        <w:rPr>
          <w:rFonts w:ascii="Times New Roman" w:hAnsi="Times New Roman" w:cs="Times New Roman"/>
          <w:sz w:val="24"/>
        </w:rPr>
      </w:pPr>
      <w:r w:rsidRPr="00763AFE">
        <w:rPr>
          <w:rFonts w:ascii="Times New Roman" w:hAnsi="Times New Roman" w:cs="Times New Roman"/>
          <w:sz w:val="24"/>
        </w:rPr>
        <w:t xml:space="preserve">PAR CES MOTIFS : </w:t>
      </w:r>
    </w:p>
    <w:p w14:paraId="029BEFF2" w14:textId="682A87A6" w:rsidR="000C0755" w:rsidRDefault="00000000">
      <w:pPr>
        <w:ind w:left="211" w:right="26"/>
        <w:rPr>
          <w:rFonts w:ascii="Times New Roman" w:hAnsi="Times New Roman" w:cs="Times New Roman"/>
          <w:sz w:val="24"/>
        </w:rPr>
      </w:pPr>
      <w:r w:rsidRPr="00763AFE">
        <w:rPr>
          <w:rFonts w:ascii="Times New Roman" w:hAnsi="Times New Roman" w:cs="Times New Roman"/>
          <w:sz w:val="24"/>
        </w:rPr>
        <w:t>CASSE ET ANNULE,</w:t>
      </w:r>
    </w:p>
    <w:p w14:paraId="7AF5FCA7" w14:textId="77777777" w:rsidR="00763AFE" w:rsidRPr="00763AFE" w:rsidRDefault="00763AFE" w:rsidP="000303E3">
      <w:pPr>
        <w:ind w:left="0" w:right="26" w:firstLine="0"/>
        <w:rPr>
          <w:rFonts w:ascii="Times New Roman" w:hAnsi="Times New Roman" w:cs="Times New Roman"/>
          <w:sz w:val="28"/>
          <w:szCs w:val="28"/>
        </w:rPr>
      </w:pPr>
    </w:p>
    <w:p w14:paraId="3350D614" w14:textId="77777777" w:rsidR="000C0755" w:rsidRPr="00763AFE" w:rsidRDefault="00000000">
      <w:pPr>
        <w:pStyle w:val="Titre1"/>
        <w:ind w:left="1281" w:hanging="720"/>
        <w:rPr>
          <w:rFonts w:ascii="Times New Roman" w:hAnsi="Times New Roman" w:cs="Times New Roman"/>
          <w:szCs w:val="28"/>
        </w:rPr>
      </w:pPr>
      <w:r w:rsidRPr="00763AFE">
        <w:rPr>
          <w:rFonts w:ascii="Times New Roman" w:hAnsi="Times New Roman" w:cs="Times New Roman"/>
          <w:szCs w:val="28"/>
        </w:rPr>
        <w:t>Théorie de l’équivalence des condition</w:t>
      </w:r>
      <w:r w:rsidRPr="00763AFE">
        <w:rPr>
          <w:rFonts w:ascii="Times New Roman" w:hAnsi="Times New Roman" w:cs="Times New Roman"/>
          <w:szCs w:val="28"/>
          <w:u w:val="none"/>
        </w:rPr>
        <w:t xml:space="preserve"> </w:t>
      </w:r>
    </w:p>
    <w:p w14:paraId="2C3DF855" w14:textId="20E4F510" w:rsidR="000C0755" w:rsidRPr="00763AFE" w:rsidRDefault="00000000" w:rsidP="00763AFE">
      <w:pPr>
        <w:spacing w:after="54" w:line="259" w:lineRule="auto"/>
        <w:ind w:left="0" w:firstLine="0"/>
        <w:jc w:val="left"/>
        <w:rPr>
          <w:rFonts w:ascii="Times New Roman" w:hAnsi="Times New Roman" w:cs="Times New Roman"/>
          <w:sz w:val="24"/>
        </w:rPr>
      </w:pPr>
      <w:r w:rsidRPr="00763AFE">
        <w:rPr>
          <w:rFonts w:ascii="Times New Roman" w:eastAsia="Calibri" w:hAnsi="Times New Roman" w:cs="Times New Roman"/>
          <w:b/>
          <w:color w:val="000000"/>
          <w:sz w:val="24"/>
        </w:rPr>
        <w:t xml:space="preserve"> </w:t>
      </w:r>
    </w:p>
    <w:p w14:paraId="44293EEC" w14:textId="57DB6E50" w:rsidR="00763AFE" w:rsidRPr="00763AFE" w:rsidRDefault="00763AFE" w:rsidP="00763AFE">
      <w:pPr>
        <w:spacing w:after="54" w:line="259" w:lineRule="auto"/>
        <w:ind w:left="0" w:firstLine="0"/>
        <w:rPr>
          <w:rFonts w:ascii="Times New Roman" w:hAnsi="Times New Roman" w:cs="Times New Roman"/>
          <w:b/>
          <w:bCs/>
          <w:sz w:val="24"/>
          <w:u w:val="single"/>
        </w:rPr>
      </w:pPr>
      <w:r w:rsidRPr="00763AFE">
        <w:rPr>
          <w:rFonts w:ascii="Times New Roman" w:hAnsi="Times New Roman" w:cs="Times New Roman"/>
          <w:b/>
          <w:bCs/>
          <w:sz w:val="24"/>
          <w:u w:val="single"/>
        </w:rPr>
        <w:t xml:space="preserve">Document 2 : </w:t>
      </w:r>
      <w:r w:rsidRPr="00763AFE">
        <w:rPr>
          <w:rFonts w:ascii="Times New Roman" w:hAnsi="Times New Roman" w:cs="Times New Roman"/>
          <w:b/>
          <w:bCs/>
          <w:sz w:val="24"/>
          <w:u w:val="single"/>
        </w:rPr>
        <w:t>Cour de Cassation, Chambre civile 2, du 3 octobre 1990, 89-12.937</w:t>
      </w:r>
    </w:p>
    <w:p w14:paraId="334CEB00" w14:textId="77777777" w:rsidR="00763AFE" w:rsidRDefault="00763AFE" w:rsidP="00763AFE">
      <w:pPr>
        <w:spacing w:after="54" w:line="259" w:lineRule="auto"/>
        <w:ind w:left="0" w:firstLine="0"/>
        <w:rPr>
          <w:rFonts w:ascii="Times New Roman" w:hAnsi="Times New Roman" w:cs="Times New Roman"/>
          <w:sz w:val="24"/>
        </w:rPr>
      </w:pPr>
    </w:p>
    <w:p w14:paraId="0F12B76F" w14:textId="370B3627" w:rsidR="00763AFE" w:rsidRDefault="00763AFE" w:rsidP="00763AFE">
      <w:pPr>
        <w:spacing w:after="54" w:line="259" w:lineRule="auto"/>
        <w:ind w:left="0" w:firstLine="0"/>
        <w:rPr>
          <w:rFonts w:ascii="Times New Roman" w:hAnsi="Times New Roman" w:cs="Times New Roman"/>
          <w:sz w:val="24"/>
        </w:rPr>
      </w:pPr>
      <w:r w:rsidRPr="00763AFE">
        <w:rPr>
          <w:rFonts w:ascii="Times New Roman" w:hAnsi="Times New Roman" w:cs="Times New Roman"/>
          <w:sz w:val="24"/>
        </w:rPr>
        <w:t>Sur le moyen unique, pris en ses diverses branches :</w:t>
      </w:r>
    </w:p>
    <w:p w14:paraId="0B52927B" w14:textId="77777777" w:rsidR="00763AFE" w:rsidRPr="00763AFE" w:rsidRDefault="00763AFE" w:rsidP="00763AFE">
      <w:pPr>
        <w:spacing w:after="54" w:line="259" w:lineRule="auto"/>
        <w:ind w:left="0" w:firstLine="0"/>
        <w:rPr>
          <w:rFonts w:ascii="Times New Roman" w:hAnsi="Times New Roman" w:cs="Times New Roman"/>
          <w:sz w:val="24"/>
        </w:rPr>
      </w:pPr>
    </w:p>
    <w:p w14:paraId="5C13E33B" w14:textId="77777777" w:rsidR="00763AFE" w:rsidRDefault="00763AFE" w:rsidP="00763AFE">
      <w:pPr>
        <w:spacing w:after="54" w:line="259" w:lineRule="auto"/>
        <w:ind w:left="0" w:firstLine="0"/>
        <w:rPr>
          <w:rFonts w:ascii="Times New Roman" w:hAnsi="Times New Roman" w:cs="Times New Roman"/>
          <w:sz w:val="24"/>
        </w:rPr>
      </w:pPr>
      <w:r w:rsidRPr="00763AFE">
        <w:rPr>
          <w:rFonts w:ascii="Times New Roman" w:hAnsi="Times New Roman" w:cs="Times New Roman"/>
          <w:sz w:val="24"/>
        </w:rPr>
        <w:t xml:space="preserve">Attendu, selon l'arrêt infirmatif attaqué (Orléans, 21 décembre 1988), que Mme Y... ayant été mortellement blessée dans un accident de la circulation dont M. </w:t>
      </w:r>
      <w:proofErr w:type="spellStart"/>
      <w:r w:rsidRPr="00763AFE">
        <w:rPr>
          <w:rFonts w:ascii="Times New Roman" w:hAnsi="Times New Roman" w:cs="Times New Roman"/>
          <w:sz w:val="24"/>
        </w:rPr>
        <w:t>Beaubois</w:t>
      </w:r>
      <w:proofErr w:type="spellEnd"/>
      <w:r w:rsidRPr="00763AFE">
        <w:rPr>
          <w:rFonts w:ascii="Times New Roman" w:hAnsi="Times New Roman" w:cs="Times New Roman"/>
          <w:sz w:val="24"/>
        </w:rPr>
        <w:t xml:space="preserve"> fut reconnu responsable, son fils Olivier, dont le père était M. X..., alla rejoindre celui-ci en Arabie Saoudite où il travaillait ; qu'Olivier X... n'ayant pu s'adapter aux conditions de vie de ce pays, son père revint en France avec lui, après avoir résilié son contrat de travail ; qu'il assigna M. </w:t>
      </w:r>
      <w:proofErr w:type="spellStart"/>
      <w:r w:rsidRPr="00763AFE">
        <w:rPr>
          <w:rFonts w:ascii="Times New Roman" w:hAnsi="Times New Roman" w:cs="Times New Roman"/>
          <w:sz w:val="24"/>
        </w:rPr>
        <w:t>Beaubois</w:t>
      </w:r>
      <w:proofErr w:type="spellEnd"/>
      <w:r w:rsidRPr="00763AFE">
        <w:rPr>
          <w:rFonts w:ascii="Times New Roman" w:hAnsi="Times New Roman" w:cs="Times New Roman"/>
          <w:sz w:val="24"/>
        </w:rPr>
        <w:t xml:space="preserve"> et la compagnie d'assurances le Groupe des assurances nationales en réparation du préjudice subi par suite de la perte de son emploi ;</w:t>
      </w:r>
    </w:p>
    <w:p w14:paraId="0CA26290" w14:textId="77777777" w:rsidR="00763AFE" w:rsidRPr="00763AFE" w:rsidRDefault="00763AFE" w:rsidP="00763AFE">
      <w:pPr>
        <w:spacing w:after="54" w:line="259" w:lineRule="auto"/>
        <w:ind w:left="0" w:firstLine="0"/>
        <w:rPr>
          <w:rFonts w:ascii="Times New Roman" w:hAnsi="Times New Roman" w:cs="Times New Roman"/>
          <w:sz w:val="24"/>
        </w:rPr>
      </w:pPr>
    </w:p>
    <w:p w14:paraId="02013A56" w14:textId="77777777" w:rsidR="00763AFE" w:rsidRDefault="00763AFE" w:rsidP="00763AFE">
      <w:pPr>
        <w:spacing w:after="54" w:line="259" w:lineRule="auto"/>
        <w:ind w:left="0" w:firstLine="0"/>
        <w:rPr>
          <w:rFonts w:ascii="Times New Roman" w:hAnsi="Times New Roman" w:cs="Times New Roman"/>
          <w:sz w:val="24"/>
        </w:rPr>
      </w:pPr>
      <w:r w:rsidRPr="00763AFE">
        <w:rPr>
          <w:rFonts w:ascii="Times New Roman" w:hAnsi="Times New Roman" w:cs="Times New Roman"/>
          <w:sz w:val="24"/>
        </w:rPr>
        <w:t>Attendu qu'il est fait grief à l'arrêt d'avoir débouté M. X... de sa demande alors que, d'une part, il était constant que celui-ci percevait en Arabie Saoudite un salaire élevé qu'il n'aurait pu espérer en France ; qu'il avait renouvelé son contrat pour une durée de deux ans postérieurement à l'accident ; que la mère et la grand-mère de son fils avaient été tuées dans l'accident et que, n'ayant aucune autre famille en France, il avait été contraint d'emmener Olivier sur son lieu de travail ; que celui-ci n'avait pu s'adapter à la vie sur place et qu'il y faisait fréquemment des crises ; que, dès lors, en décidant que le préjudice résultant de la rupture par M. X... de son contrat de travail ne se trouvait pas dans un lien de causalité direct avec l'accident de la circulation dont avaient été victimes la mère et la grand-mère de l'enfant, la cour d'appel aurait violé l'article 1384, alinéa 1er, du Code civil ; alors que, d'autre part, en omettant de rechercher, ainsi qu'elle y était invitée par M. X..., si l'intérêt de l'enfant ne justifiait pas l'abandon par le père de son emploi pourtant lucratif à l'étranger, la cour d'appel aurait privé sa décision de base légale ; alors qu'enfin, après avoir constaté que la juridiction correctionnelle avait dénié l'existence d'un lien de causalité direct entre le préjudice de la victime et les infractions reprochées au prévenu, la cour d'appel n'aurait pu, sans violer l'article 1351 du Code civil, opposer la chose jugée à la demande en réparation que M. X... fondait sur le fait de la chose ;</w:t>
      </w:r>
    </w:p>
    <w:p w14:paraId="774A07D7" w14:textId="77777777" w:rsidR="00763AFE" w:rsidRPr="00763AFE" w:rsidRDefault="00763AFE" w:rsidP="00763AFE">
      <w:pPr>
        <w:spacing w:after="54" w:line="259" w:lineRule="auto"/>
        <w:ind w:left="0" w:firstLine="0"/>
        <w:rPr>
          <w:rFonts w:ascii="Times New Roman" w:hAnsi="Times New Roman" w:cs="Times New Roman"/>
          <w:sz w:val="24"/>
        </w:rPr>
      </w:pPr>
    </w:p>
    <w:p w14:paraId="042797F0" w14:textId="77777777" w:rsidR="00763AFE" w:rsidRDefault="00763AFE" w:rsidP="00763AFE">
      <w:pPr>
        <w:spacing w:after="54" w:line="259" w:lineRule="auto"/>
        <w:ind w:left="0" w:firstLine="0"/>
        <w:rPr>
          <w:rFonts w:ascii="Times New Roman" w:hAnsi="Times New Roman" w:cs="Times New Roman"/>
          <w:sz w:val="24"/>
        </w:rPr>
      </w:pPr>
      <w:r w:rsidRPr="00763AFE">
        <w:rPr>
          <w:rFonts w:ascii="Times New Roman" w:hAnsi="Times New Roman" w:cs="Times New Roman"/>
          <w:sz w:val="24"/>
        </w:rPr>
        <w:t xml:space="preserve">Mais attendu que l'arrêt énonce à bon droit qu'il n'existe aucun lien de causalité direct entre le préjudice résultant de la rupture volontaire du contrat de travail de M. </w:t>
      </w:r>
      <w:proofErr w:type="gramStart"/>
      <w:r w:rsidRPr="00763AFE">
        <w:rPr>
          <w:rFonts w:ascii="Times New Roman" w:hAnsi="Times New Roman" w:cs="Times New Roman"/>
          <w:sz w:val="24"/>
        </w:rPr>
        <w:t>X...</w:t>
      </w:r>
      <w:proofErr w:type="gramEnd"/>
      <w:r w:rsidRPr="00763AFE">
        <w:rPr>
          <w:rFonts w:ascii="Times New Roman" w:hAnsi="Times New Roman" w:cs="Times New Roman"/>
          <w:sz w:val="24"/>
        </w:rPr>
        <w:t xml:space="preserve"> et l'accident de la circulation dont a été victime Mme Y... ;</w:t>
      </w:r>
    </w:p>
    <w:p w14:paraId="36D08586" w14:textId="77777777" w:rsidR="00763AFE" w:rsidRPr="00763AFE" w:rsidRDefault="00763AFE" w:rsidP="00763AFE">
      <w:pPr>
        <w:spacing w:after="54" w:line="259" w:lineRule="auto"/>
        <w:ind w:left="0" w:firstLine="0"/>
        <w:rPr>
          <w:rFonts w:ascii="Times New Roman" w:hAnsi="Times New Roman" w:cs="Times New Roman"/>
          <w:sz w:val="24"/>
        </w:rPr>
      </w:pPr>
    </w:p>
    <w:p w14:paraId="7DFC897C" w14:textId="77777777" w:rsidR="00763AFE" w:rsidRDefault="00763AFE" w:rsidP="00763AFE">
      <w:pPr>
        <w:spacing w:after="54" w:line="259" w:lineRule="auto"/>
        <w:ind w:left="0" w:firstLine="0"/>
        <w:rPr>
          <w:rFonts w:ascii="Times New Roman" w:hAnsi="Times New Roman" w:cs="Times New Roman"/>
          <w:sz w:val="24"/>
        </w:rPr>
      </w:pPr>
      <w:r w:rsidRPr="00763AFE">
        <w:rPr>
          <w:rFonts w:ascii="Times New Roman" w:hAnsi="Times New Roman" w:cs="Times New Roman"/>
          <w:sz w:val="24"/>
        </w:rPr>
        <w:t>Que, par ces seuls motifs, la cour d'appel a légalement justifié sa décision ;</w:t>
      </w:r>
    </w:p>
    <w:p w14:paraId="0E7D3833" w14:textId="77777777" w:rsidR="00763AFE" w:rsidRPr="00763AFE" w:rsidRDefault="00763AFE" w:rsidP="00763AFE">
      <w:pPr>
        <w:spacing w:after="54" w:line="259" w:lineRule="auto"/>
        <w:ind w:left="0" w:firstLine="0"/>
        <w:rPr>
          <w:rFonts w:ascii="Times New Roman" w:hAnsi="Times New Roman" w:cs="Times New Roman"/>
          <w:sz w:val="24"/>
        </w:rPr>
      </w:pPr>
    </w:p>
    <w:p w14:paraId="5C334CD5" w14:textId="77777777" w:rsidR="00763AFE" w:rsidRDefault="00763AFE" w:rsidP="00763AFE">
      <w:pPr>
        <w:spacing w:after="54" w:line="259" w:lineRule="auto"/>
        <w:ind w:left="0" w:firstLine="0"/>
        <w:rPr>
          <w:rFonts w:ascii="Times New Roman" w:hAnsi="Times New Roman" w:cs="Times New Roman"/>
          <w:sz w:val="24"/>
        </w:rPr>
      </w:pPr>
      <w:r w:rsidRPr="00763AFE">
        <w:rPr>
          <w:rFonts w:ascii="Times New Roman" w:hAnsi="Times New Roman" w:cs="Times New Roman"/>
          <w:sz w:val="24"/>
        </w:rPr>
        <w:t>PAR CES MOTIFS :</w:t>
      </w:r>
    </w:p>
    <w:p w14:paraId="14A4FFF2" w14:textId="77777777" w:rsidR="00763AFE" w:rsidRPr="00763AFE" w:rsidRDefault="00763AFE" w:rsidP="00763AFE">
      <w:pPr>
        <w:spacing w:after="54" w:line="259" w:lineRule="auto"/>
        <w:ind w:left="0" w:firstLine="0"/>
        <w:rPr>
          <w:rFonts w:ascii="Times New Roman" w:hAnsi="Times New Roman" w:cs="Times New Roman"/>
          <w:sz w:val="24"/>
        </w:rPr>
      </w:pPr>
    </w:p>
    <w:p w14:paraId="56E663EC" w14:textId="37176411" w:rsidR="00763AFE" w:rsidRDefault="00763AFE" w:rsidP="00763AFE">
      <w:pPr>
        <w:spacing w:after="54" w:line="259" w:lineRule="auto"/>
        <w:ind w:left="0" w:firstLine="0"/>
        <w:jc w:val="left"/>
        <w:rPr>
          <w:rFonts w:ascii="Times New Roman" w:hAnsi="Times New Roman" w:cs="Times New Roman"/>
          <w:sz w:val="24"/>
        </w:rPr>
      </w:pPr>
      <w:r w:rsidRPr="00763AFE">
        <w:rPr>
          <w:rFonts w:ascii="Times New Roman" w:hAnsi="Times New Roman" w:cs="Times New Roman"/>
          <w:sz w:val="24"/>
        </w:rPr>
        <w:t>REJETTE le pourvoi</w:t>
      </w:r>
    </w:p>
    <w:p w14:paraId="205452AF" w14:textId="77777777" w:rsidR="003A7F9B" w:rsidRDefault="003A7F9B" w:rsidP="00763AFE">
      <w:pPr>
        <w:spacing w:after="54" w:line="259" w:lineRule="auto"/>
        <w:ind w:left="0" w:firstLine="0"/>
        <w:jc w:val="left"/>
        <w:rPr>
          <w:rFonts w:ascii="Times New Roman" w:hAnsi="Times New Roman" w:cs="Times New Roman"/>
          <w:sz w:val="24"/>
        </w:rPr>
      </w:pPr>
    </w:p>
    <w:p w14:paraId="0FE8B214" w14:textId="77777777" w:rsidR="00530E04" w:rsidRDefault="00530E04" w:rsidP="00763AFE">
      <w:pPr>
        <w:spacing w:after="54" w:line="259" w:lineRule="auto"/>
        <w:ind w:left="0" w:firstLine="0"/>
        <w:jc w:val="left"/>
        <w:rPr>
          <w:rFonts w:ascii="Times New Roman" w:hAnsi="Times New Roman" w:cs="Times New Roman"/>
          <w:sz w:val="24"/>
        </w:rPr>
      </w:pPr>
    </w:p>
    <w:p w14:paraId="243F52A7" w14:textId="77777777" w:rsidR="00763AFE" w:rsidRPr="00763AFE" w:rsidRDefault="00763AFE" w:rsidP="00763AFE">
      <w:pPr>
        <w:spacing w:after="54" w:line="259" w:lineRule="auto"/>
        <w:ind w:left="0" w:firstLine="0"/>
        <w:jc w:val="left"/>
        <w:rPr>
          <w:rFonts w:ascii="Times New Roman" w:hAnsi="Times New Roman" w:cs="Times New Roman"/>
          <w:b/>
          <w:bCs/>
          <w:sz w:val="24"/>
          <w:u w:val="single"/>
        </w:rPr>
      </w:pPr>
    </w:p>
    <w:p w14:paraId="118589F6" w14:textId="0304A27A" w:rsidR="00763AFE" w:rsidRPr="00763AFE" w:rsidRDefault="00763AFE" w:rsidP="00763AFE">
      <w:pPr>
        <w:spacing w:after="54" w:line="259" w:lineRule="auto"/>
        <w:ind w:left="0" w:firstLine="0"/>
        <w:jc w:val="left"/>
        <w:rPr>
          <w:rFonts w:ascii="Times New Roman" w:hAnsi="Times New Roman" w:cs="Times New Roman"/>
          <w:b/>
          <w:bCs/>
          <w:sz w:val="24"/>
          <w:u w:val="single"/>
        </w:rPr>
      </w:pPr>
      <w:r w:rsidRPr="00763AFE">
        <w:rPr>
          <w:rFonts w:ascii="Times New Roman" w:hAnsi="Times New Roman" w:cs="Times New Roman"/>
          <w:b/>
          <w:bCs/>
          <w:sz w:val="24"/>
          <w:u w:val="single"/>
        </w:rPr>
        <w:lastRenderedPageBreak/>
        <w:t xml:space="preserve">Document 3 : </w:t>
      </w:r>
      <w:r w:rsidRPr="00763AFE">
        <w:rPr>
          <w:rFonts w:ascii="Times New Roman" w:hAnsi="Times New Roman" w:cs="Times New Roman"/>
          <w:b/>
          <w:bCs/>
          <w:sz w:val="24"/>
          <w:u w:val="single"/>
        </w:rPr>
        <w:t>Cour de Cassation, Chambre civile 2, du 27 mars 2003, 01-00.850</w:t>
      </w:r>
    </w:p>
    <w:p w14:paraId="64573F8F" w14:textId="77777777" w:rsidR="00763AFE" w:rsidRDefault="00763AFE" w:rsidP="00763AFE">
      <w:pPr>
        <w:spacing w:after="54" w:line="259" w:lineRule="auto"/>
        <w:ind w:left="0" w:firstLine="0"/>
        <w:jc w:val="left"/>
        <w:rPr>
          <w:rFonts w:ascii="Times New Roman" w:hAnsi="Times New Roman" w:cs="Times New Roman"/>
          <w:sz w:val="24"/>
        </w:rPr>
      </w:pPr>
    </w:p>
    <w:p w14:paraId="02EB40D9" w14:textId="2905F365" w:rsidR="00763AFE" w:rsidRDefault="00763AFE" w:rsidP="00763AFE">
      <w:pPr>
        <w:spacing w:after="54" w:line="259" w:lineRule="auto"/>
        <w:ind w:left="0" w:firstLine="0"/>
        <w:rPr>
          <w:rFonts w:ascii="Times New Roman" w:hAnsi="Times New Roman" w:cs="Times New Roman"/>
          <w:sz w:val="24"/>
        </w:rPr>
      </w:pPr>
      <w:r w:rsidRPr="00763AFE">
        <w:rPr>
          <w:rFonts w:ascii="Times New Roman" w:hAnsi="Times New Roman" w:cs="Times New Roman"/>
          <w:sz w:val="24"/>
        </w:rPr>
        <w:t>Sur le moyen unique du pourvoi principal :</w:t>
      </w:r>
    </w:p>
    <w:p w14:paraId="4B7B76A8" w14:textId="77777777" w:rsidR="00763AFE" w:rsidRPr="00763AFE" w:rsidRDefault="00763AFE" w:rsidP="00763AFE">
      <w:pPr>
        <w:spacing w:after="54" w:line="259" w:lineRule="auto"/>
        <w:ind w:left="0" w:firstLine="0"/>
        <w:rPr>
          <w:rFonts w:ascii="Times New Roman" w:hAnsi="Times New Roman" w:cs="Times New Roman"/>
          <w:sz w:val="24"/>
        </w:rPr>
      </w:pPr>
    </w:p>
    <w:p w14:paraId="162366C7" w14:textId="77777777" w:rsidR="00763AFE" w:rsidRDefault="00763AFE" w:rsidP="00763AFE">
      <w:pPr>
        <w:spacing w:after="54" w:line="259" w:lineRule="auto"/>
        <w:ind w:left="0" w:firstLine="0"/>
        <w:rPr>
          <w:rFonts w:ascii="Times New Roman" w:hAnsi="Times New Roman" w:cs="Times New Roman"/>
          <w:sz w:val="24"/>
        </w:rPr>
      </w:pPr>
      <w:r w:rsidRPr="00763AFE">
        <w:rPr>
          <w:rFonts w:ascii="Times New Roman" w:hAnsi="Times New Roman" w:cs="Times New Roman"/>
          <w:sz w:val="24"/>
        </w:rPr>
        <w:t>Attendu, selon l'arrêt attaqué, que le 28 avril 1995, un véhicule appartenant à M. X..., qui n'était pas assuré, a défoncé la devanture du commerce de M. Y... et a terminé sa course contre le comptoir, causant des dégâts importants ; que le commerce de M. Y... est resté fermé pendant 433 jours ouvrables ; que M. Y... a assigné la compagnie les Mutuelles du Mans, auprès de laquelle il avait souscrit une police multirisques "dommages aux biens et pertes pécuniaires" couvrant les dommages matériels ainsi que les pertes d'exploitation et les pertes de valeur sur une période de 200 jours au maximum, et le Fonds de garantie contre les accidents de circulation et de chasse (FGA) en réparation de ses dommages ; que M. X... a été appelé en la cause ;</w:t>
      </w:r>
    </w:p>
    <w:p w14:paraId="4B60F0F3" w14:textId="77777777" w:rsidR="00763AFE" w:rsidRDefault="00763AFE" w:rsidP="00763AFE">
      <w:pPr>
        <w:spacing w:after="54" w:line="259" w:lineRule="auto"/>
        <w:ind w:left="0" w:firstLine="0"/>
        <w:rPr>
          <w:rFonts w:ascii="Times New Roman" w:hAnsi="Times New Roman" w:cs="Times New Roman"/>
          <w:sz w:val="24"/>
        </w:rPr>
      </w:pPr>
    </w:p>
    <w:p w14:paraId="68E23296" w14:textId="7175B300" w:rsidR="00763AFE" w:rsidRDefault="00763AFE" w:rsidP="00763AFE">
      <w:pPr>
        <w:spacing w:after="54" w:line="259" w:lineRule="auto"/>
        <w:ind w:left="0" w:firstLine="0"/>
        <w:rPr>
          <w:rFonts w:ascii="Times New Roman" w:hAnsi="Times New Roman" w:cs="Times New Roman"/>
          <w:sz w:val="24"/>
        </w:rPr>
      </w:pPr>
      <w:r>
        <w:rPr>
          <w:rFonts w:ascii="Times New Roman" w:hAnsi="Times New Roman" w:cs="Times New Roman"/>
          <w:sz w:val="24"/>
        </w:rPr>
        <w:t>(…)</w:t>
      </w:r>
    </w:p>
    <w:p w14:paraId="1B6FBF2D" w14:textId="77777777" w:rsidR="00763AFE" w:rsidRDefault="00763AFE" w:rsidP="00763AFE">
      <w:pPr>
        <w:spacing w:after="54" w:line="259" w:lineRule="auto"/>
        <w:ind w:left="0" w:firstLine="0"/>
        <w:rPr>
          <w:rFonts w:ascii="Times New Roman" w:hAnsi="Times New Roman" w:cs="Times New Roman"/>
          <w:sz w:val="24"/>
        </w:rPr>
      </w:pPr>
    </w:p>
    <w:p w14:paraId="417D7048" w14:textId="6323A0F1" w:rsidR="00763AFE" w:rsidRDefault="00763AFE" w:rsidP="00763AFE">
      <w:pPr>
        <w:spacing w:after="54" w:line="259" w:lineRule="auto"/>
        <w:ind w:left="0" w:firstLine="0"/>
        <w:rPr>
          <w:rFonts w:ascii="Times New Roman" w:hAnsi="Times New Roman" w:cs="Times New Roman"/>
          <w:sz w:val="24"/>
        </w:rPr>
      </w:pPr>
      <w:r w:rsidRPr="00763AFE">
        <w:rPr>
          <w:rFonts w:ascii="Times New Roman" w:hAnsi="Times New Roman" w:cs="Times New Roman"/>
          <w:sz w:val="24"/>
        </w:rPr>
        <w:t>2 / que le Fonds de garantie, dont l'obligation est subsidiaire, n'est tenu d'indemniser la victime d'un accident de la circulation que dans la mesure où cette indemnisation n'incombe à aucune autre personne ou à aucun autre organisme ; que par ailleurs, l'assureur qui, de mauvaise foi, tarde à exécuter ses obligations et cause à son assuré un préjudice distinct du simple retard, doit être condamné à le réparer ; qu'enfin le juge est tenu de donner aux faits allégués par une partie leur exacte qualification ; que dans ses conclusions récapitulatives régulièrement signifiées et déposées le 17 septembre 1999 le FGA avait fait valoir, par référence expresse au rapport de l'expert judiciaire Leca régulièrement versé aux débats, que le préjudice financier subi par M. Y... et non couvert par sa police d'assurance devait être imputé à l'attitude des Mutuelles du Mans qui, sous couvert d'une opposition du propriétaire du fonds pour 42 000 francs de loyers impayés, avaient bloqué le versement de la quasi-totalité des sommes dues à leur assuré, soit 194 111,49 francs dus au titre des travaux de réparation du fonds et 214 632 francs au titre des pertes d'exploitation couvertes par la police, soulignant par là même la mauvaise foi de l'assureur ; qu'en statuant comme elle l'a fait, sans avoir recherché, comme elle y était tenue, si les faits allégués à l'encontre des Mutuelles du Mans dans le processus d'indemnisation n'étaient pas de nature à caractériser la mauvaise foi de l'assureur et à justifier la mise en cause de sa responsabilité envers M. Y..., la cour d'appel n'a pas donné de base légale à sa décision au regard des articles L. 421-1 du Code des assurances, 1153, alinéa 4, du Code civil et 12 du nouveau Code de procédure civile ;</w:t>
      </w:r>
    </w:p>
    <w:p w14:paraId="3ACE81B6" w14:textId="77777777" w:rsidR="00763AFE" w:rsidRPr="00763AFE" w:rsidRDefault="00763AFE" w:rsidP="00763AFE">
      <w:pPr>
        <w:spacing w:after="54" w:line="259" w:lineRule="auto"/>
        <w:ind w:left="0" w:firstLine="0"/>
        <w:rPr>
          <w:rFonts w:ascii="Times New Roman" w:hAnsi="Times New Roman" w:cs="Times New Roman"/>
          <w:sz w:val="24"/>
        </w:rPr>
      </w:pPr>
    </w:p>
    <w:p w14:paraId="0449604A" w14:textId="77777777" w:rsidR="00763AFE" w:rsidRPr="00763AFE" w:rsidRDefault="00763AFE" w:rsidP="00763AFE">
      <w:pPr>
        <w:spacing w:after="54" w:line="259" w:lineRule="auto"/>
        <w:ind w:left="0" w:firstLine="0"/>
        <w:rPr>
          <w:rFonts w:ascii="Times New Roman" w:hAnsi="Times New Roman" w:cs="Times New Roman"/>
          <w:sz w:val="24"/>
        </w:rPr>
      </w:pPr>
      <w:r w:rsidRPr="00763AFE">
        <w:rPr>
          <w:rFonts w:ascii="Times New Roman" w:hAnsi="Times New Roman" w:cs="Times New Roman"/>
          <w:sz w:val="24"/>
        </w:rPr>
        <w:t>Mais attendu que l'arrêt retient que l'accident constitue une cause de la perte d'exploitation excédant les 200 jours subie ultérieurement par M. Y..., que le lien de causalité est direct et certain puisqu'en l'absence de survenance de l'accident, le dommage ne se serait pas produit alors que si des fautes successives imputables à des auteurs différents ont pu jouer un rôle causal sur ce poste de préjudice, ainsi que le soutient le FGA, cette pluralité des causes, à supposer qu'elle soit démontrée, n'est pas de nature à faire obstacle à l'indemnisation de l'entier dommage par l'auteur initial par application du principe de l'équivalence des causes dans la production d'un même dommage en matière de responsabilité délictuelle ;</w:t>
      </w:r>
    </w:p>
    <w:p w14:paraId="0DFF9A1A" w14:textId="77777777" w:rsidR="00763AFE" w:rsidRDefault="00763AFE" w:rsidP="00763AFE">
      <w:pPr>
        <w:spacing w:after="54" w:line="259" w:lineRule="auto"/>
        <w:ind w:left="0" w:firstLine="0"/>
        <w:rPr>
          <w:rFonts w:ascii="Times New Roman" w:hAnsi="Times New Roman" w:cs="Times New Roman"/>
          <w:sz w:val="24"/>
        </w:rPr>
      </w:pPr>
      <w:r w:rsidRPr="00763AFE">
        <w:rPr>
          <w:rFonts w:ascii="Times New Roman" w:hAnsi="Times New Roman" w:cs="Times New Roman"/>
          <w:sz w:val="24"/>
        </w:rPr>
        <w:t>Qu'en l'état de ces constatations et énonciations d'où il résulte que le dommage de perte d'exploitation était en relation de causalité directe avec l'accident, la cour d'appel, répondant aux conclusions dont elle était saisie, a légalement justifié sa décision ;</w:t>
      </w:r>
    </w:p>
    <w:p w14:paraId="16DA49D8" w14:textId="77777777" w:rsidR="00763AFE" w:rsidRPr="00763AFE" w:rsidRDefault="00763AFE" w:rsidP="00763AFE">
      <w:pPr>
        <w:spacing w:after="54" w:line="259" w:lineRule="auto"/>
        <w:ind w:left="0" w:firstLine="0"/>
        <w:rPr>
          <w:rFonts w:ascii="Times New Roman" w:hAnsi="Times New Roman" w:cs="Times New Roman"/>
          <w:sz w:val="24"/>
        </w:rPr>
      </w:pPr>
    </w:p>
    <w:p w14:paraId="21C79929" w14:textId="77777777" w:rsidR="00763AFE" w:rsidRDefault="00763AFE" w:rsidP="00763AFE">
      <w:pPr>
        <w:spacing w:after="54" w:line="259" w:lineRule="auto"/>
        <w:ind w:left="0" w:firstLine="0"/>
        <w:rPr>
          <w:rFonts w:ascii="Times New Roman" w:hAnsi="Times New Roman" w:cs="Times New Roman"/>
          <w:sz w:val="24"/>
        </w:rPr>
      </w:pPr>
      <w:r w:rsidRPr="00763AFE">
        <w:rPr>
          <w:rFonts w:ascii="Times New Roman" w:hAnsi="Times New Roman" w:cs="Times New Roman"/>
          <w:sz w:val="24"/>
        </w:rPr>
        <w:t>D'où il suit que le moyen n'est pas fondé ;</w:t>
      </w:r>
    </w:p>
    <w:p w14:paraId="4D299B66" w14:textId="77777777" w:rsidR="00763AFE" w:rsidRPr="00763AFE" w:rsidRDefault="00763AFE" w:rsidP="00763AFE">
      <w:pPr>
        <w:spacing w:after="54" w:line="259" w:lineRule="auto"/>
        <w:ind w:left="0" w:firstLine="0"/>
        <w:rPr>
          <w:rFonts w:ascii="Times New Roman" w:hAnsi="Times New Roman" w:cs="Times New Roman"/>
          <w:sz w:val="24"/>
        </w:rPr>
      </w:pPr>
    </w:p>
    <w:p w14:paraId="76C6788A" w14:textId="014B78D7" w:rsidR="00763AFE" w:rsidRPr="00763AFE" w:rsidRDefault="00763AFE" w:rsidP="00763AFE">
      <w:pPr>
        <w:spacing w:after="54" w:line="259" w:lineRule="auto"/>
        <w:ind w:left="0" w:firstLine="0"/>
        <w:rPr>
          <w:rFonts w:ascii="Times New Roman" w:hAnsi="Times New Roman" w:cs="Times New Roman"/>
          <w:sz w:val="24"/>
        </w:rPr>
      </w:pPr>
      <w:r w:rsidRPr="00763AFE">
        <w:rPr>
          <w:rFonts w:ascii="Times New Roman" w:hAnsi="Times New Roman" w:cs="Times New Roman"/>
          <w:sz w:val="24"/>
        </w:rPr>
        <w:t>Mais sur le moyen unique du pourvoi provoqué :</w:t>
      </w:r>
    </w:p>
    <w:p w14:paraId="5931F1B0" w14:textId="77777777" w:rsidR="00763AFE" w:rsidRDefault="00763AFE" w:rsidP="00763AFE">
      <w:pPr>
        <w:spacing w:after="54" w:line="259" w:lineRule="auto"/>
        <w:ind w:left="0" w:firstLine="0"/>
        <w:jc w:val="left"/>
        <w:rPr>
          <w:rFonts w:ascii="Times New Roman" w:hAnsi="Times New Roman" w:cs="Times New Roman"/>
          <w:sz w:val="24"/>
        </w:rPr>
      </w:pPr>
    </w:p>
    <w:p w14:paraId="3DB478B0" w14:textId="77777777" w:rsidR="00763AFE" w:rsidRPr="00763AFE" w:rsidRDefault="00763AFE" w:rsidP="00763AFE">
      <w:pPr>
        <w:spacing w:after="54" w:line="259" w:lineRule="auto"/>
        <w:ind w:left="0" w:firstLine="0"/>
        <w:jc w:val="left"/>
        <w:rPr>
          <w:rFonts w:ascii="Times New Roman" w:hAnsi="Times New Roman" w:cs="Times New Roman"/>
          <w:sz w:val="24"/>
        </w:rPr>
      </w:pPr>
    </w:p>
    <w:p w14:paraId="606C934B" w14:textId="77777777" w:rsidR="000C0755" w:rsidRPr="00763AFE" w:rsidRDefault="00000000">
      <w:pPr>
        <w:pStyle w:val="Titre1"/>
        <w:ind w:left="1281" w:hanging="720"/>
        <w:rPr>
          <w:rFonts w:ascii="Times New Roman" w:hAnsi="Times New Roman" w:cs="Times New Roman"/>
          <w:sz w:val="24"/>
        </w:rPr>
      </w:pPr>
      <w:r w:rsidRPr="00763AFE">
        <w:rPr>
          <w:rFonts w:ascii="Times New Roman" w:hAnsi="Times New Roman" w:cs="Times New Roman"/>
          <w:sz w:val="24"/>
        </w:rPr>
        <w:t>La preuve du lien de causalité</w:t>
      </w:r>
      <w:r w:rsidRPr="00763AFE">
        <w:rPr>
          <w:rFonts w:ascii="Times New Roman" w:hAnsi="Times New Roman" w:cs="Times New Roman"/>
          <w:sz w:val="24"/>
          <w:u w:val="none"/>
        </w:rPr>
        <w:t xml:space="preserve"> </w:t>
      </w:r>
    </w:p>
    <w:p w14:paraId="405B89D9" w14:textId="77777777" w:rsidR="000C0755" w:rsidRPr="00763AFE" w:rsidRDefault="00000000">
      <w:pPr>
        <w:spacing w:after="201" w:line="259" w:lineRule="auto"/>
        <w:ind w:left="0" w:firstLine="0"/>
        <w:jc w:val="left"/>
        <w:rPr>
          <w:rFonts w:ascii="Times New Roman" w:hAnsi="Times New Roman" w:cs="Times New Roman"/>
          <w:sz w:val="24"/>
        </w:rPr>
      </w:pPr>
      <w:r w:rsidRPr="00763AFE">
        <w:rPr>
          <w:rFonts w:ascii="Times New Roman" w:eastAsia="Calibri" w:hAnsi="Times New Roman" w:cs="Times New Roman"/>
          <w:b/>
          <w:color w:val="000000"/>
          <w:sz w:val="24"/>
        </w:rPr>
        <w:t xml:space="preserve"> </w:t>
      </w:r>
    </w:p>
    <w:p w14:paraId="12C42F5D" w14:textId="0BE384AD" w:rsidR="000C0755" w:rsidRPr="00763AFE" w:rsidRDefault="00000000" w:rsidP="00600A32">
      <w:pPr>
        <w:ind w:left="0" w:firstLine="0"/>
        <w:jc w:val="left"/>
        <w:rPr>
          <w:rFonts w:ascii="Times New Roman" w:hAnsi="Times New Roman" w:cs="Times New Roman"/>
          <w:sz w:val="24"/>
        </w:rPr>
      </w:pPr>
      <w:r w:rsidRPr="00763AFE">
        <w:rPr>
          <w:rFonts w:ascii="Times New Roman" w:eastAsia="Calibri" w:hAnsi="Times New Roman" w:cs="Times New Roman"/>
          <w:b/>
          <w:color w:val="000000"/>
          <w:sz w:val="24"/>
          <w:u w:val="single" w:color="000000"/>
        </w:rPr>
        <w:t xml:space="preserve">Document </w:t>
      </w:r>
      <w:r w:rsidR="00304951">
        <w:rPr>
          <w:rFonts w:ascii="Times New Roman" w:eastAsia="Calibri" w:hAnsi="Times New Roman" w:cs="Times New Roman"/>
          <w:b/>
          <w:color w:val="000000"/>
          <w:sz w:val="24"/>
          <w:u w:val="single" w:color="000000"/>
        </w:rPr>
        <w:t>4</w:t>
      </w:r>
      <w:r w:rsidRPr="00763AFE">
        <w:rPr>
          <w:rFonts w:ascii="Times New Roman" w:eastAsia="Calibri" w:hAnsi="Times New Roman" w:cs="Times New Roman"/>
          <w:b/>
          <w:color w:val="000000"/>
          <w:sz w:val="24"/>
          <w:u w:val="single" w:color="000000"/>
        </w:rPr>
        <w:t xml:space="preserve"> - Cass. </w:t>
      </w:r>
      <w:proofErr w:type="spellStart"/>
      <w:r w:rsidRPr="00763AFE">
        <w:rPr>
          <w:rFonts w:ascii="Times New Roman" w:eastAsia="Calibri" w:hAnsi="Times New Roman" w:cs="Times New Roman"/>
          <w:b/>
          <w:color w:val="000000"/>
          <w:sz w:val="24"/>
          <w:u w:val="single" w:color="000000"/>
        </w:rPr>
        <w:t>Civ</w:t>
      </w:r>
      <w:proofErr w:type="spellEnd"/>
      <w:r w:rsidRPr="00763AFE">
        <w:rPr>
          <w:rFonts w:ascii="Times New Roman" w:eastAsia="Calibri" w:hAnsi="Times New Roman" w:cs="Times New Roman"/>
          <w:b/>
          <w:color w:val="000000"/>
          <w:sz w:val="24"/>
          <w:u w:val="single" w:color="000000"/>
        </w:rPr>
        <w:t>. 1ère, 25 novembre 2010, n° 09-16556</w:t>
      </w:r>
    </w:p>
    <w:p w14:paraId="0B59BAFC" w14:textId="68D43836" w:rsidR="000C0755" w:rsidRPr="00763AFE" w:rsidRDefault="000C0755">
      <w:pPr>
        <w:spacing w:after="144" w:line="259" w:lineRule="auto"/>
        <w:ind w:left="0" w:firstLine="0"/>
        <w:jc w:val="left"/>
        <w:rPr>
          <w:rFonts w:ascii="Times New Roman" w:hAnsi="Times New Roman" w:cs="Times New Roman"/>
          <w:sz w:val="24"/>
        </w:rPr>
      </w:pPr>
    </w:p>
    <w:p w14:paraId="0C6711DE" w14:textId="77777777" w:rsidR="000C0755" w:rsidRPr="00763AFE" w:rsidRDefault="00000000" w:rsidP="00600A32">
      <w:pPr>
        <w:ind w:left="0" w:right="26" w:firstLine="216"/>
        <w:rPr>
          <w:rFonts w:ascii="Times New Roman" w:hAnsi="Times New Roman" w:cs="Times New Roman"/>
          <w:sz w:val="24"/>
        </w:rPr>
      </w:pPr>
      <w:r w:rsidRPr="00763AFE">
        <w:rPr>
          <w:rFonts w:ascii="Times New Roman" w:hAnsi="Times New Roman" w:cs="Times New Roman"/>
          <w:sz w:val="24"/>
        </w:rPr>
        <w:t>Sur le moyen unique, pris en ses deux branches :</w:t>
      </w:r>
      <w:r w:rsidRPr="00763AFE">
        <w:rPr>
          <w:rFonts w:ascii="Times New Roman" w:hAnsi="Times New Roman" w:cs="Times New Roman"/>
          <w:color w:val="000000"/>
          <w:sz w:val="24"/>
        </w:rPr>
        <w:t xml:space="preserve"> </w:t>
      </w:r>
    </w:p>
    <w:p w14:paraId="69252D97"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hAnsi="Times New Roman" w:cs="Times New Roman"/>
          <w:color w:val="000000"/>
          <w:sz w:val="24"/>
        </w:rPr>
        <w:t xml:space="preserve"> </w:t>
      </w:r>
    </w:p>
    <w:p w14:paraId="5252DFAF" w14:textId="77777777" w:rsidR="000C0755" w:rsidRPr="00763AFE" w:rsidRDefault="00000000" w:rsidP="00600A32">
      <w:pPr>
        <w:ind w:left="216" w:right="26" w:firstLine="0"/>
        <w:rPr>
          <w:rFonts w:ascii="Times New Roman" w:hAnsi="Times New Roman" w:cs="Times New Roman"/>
          <w:sz w:val="24"/>
        </w:rPr>
      </w:pPr>
      <w:r w:rsidRPr="00763AFE">
        <w:rPr>
          <w:rFonts w:ascii="Times New Roman" w:hAnsi="Times New Roman" w:cs="Times New Roman"/>
          <w:sz w:val="24"/>
        </w:rPr>
        <w:t xml:space="preserve">Attendu que Mme </w:t>
      </w:r>
      <w:proofErr w:type="gramStart"/>
      <w:r w:rsidRPr="00763AFE">
        <w:rPr>
          <w:rFonts w:ascii="Times New Roman" w:hAnsi="Times New Roman" w:cs="Times New Roman"/>
          <w:sz w:val="24"/>
        </w:rPr>
        <w:t>X...</w:t>
      </w:r>
      <w:proofErr w:type="gramEnd"/>
      <w:r w:rsidRPr="00763AFE">
        <w:rPr>
          <w:rFonts w:ascii="Times New Roman" w:hAnsi="Times New Roman" w:cs="Times New Roman"/>
          <w:sz w:val="24"/>
        </w:rPr>
        <w:t xml:space="preserve">, qui avait été vaccinée contre l'hépatite B, les 29 juin 1994, 13 janvier et 12 juin 1995, avec le vaccin </w:t>
      </w:r>
      <w:proofErr w:type="spellStart"/>
      <w:r w:rsidRPr="00763AFE">
        <w:rPr>
          <w:rFonts w:ascii="Times New Roman" w:hAnsi="Times New Roman" w:cs="Times New Roman"/>
          <w:sz w:val="24"/>
        </w:rPr>
        <w:t>Genhévac</w:t>
      </w:r>
      <w:proofErr w:type="spellEnd"/>
      <w:r w:rsidRPr="00763AFE">
        <w:rPr>
          <w:rFonts w:ascii="Times New Roman" w:hAnsi="Times New Roman" w:cs="Times New Roman"/>
          <w:sz w:val="24"/>
        </w:rPr>
        <w:t xml:space="preserve"> B fabriqué par la société Pasteur vaccins, devenue Sanofi Pasteur MSD, a présenté, quinze jours après la dernière injection, des symptômes qui ont ultérieurement abouti, en juillet 1996, au diagnostic de la sclérose en plaques ; qu'elle a assigné, après expertise judiciaire, la société Sanofi Pasteur MSD pour obtenir réparation de son préjudice ;</w:t>
      </w:r>
      <w:r w:rsidRPr="00763AFE">
        <w:rPr>
          <w:rFonts w:ascii="Times New Roman" w:hAnsi="Times New Roman" w:cs="Times New Roman"/>
          <w:color w:val="000000"/>
          <w:sz w:val="24"/>
        </w:rPr>
        <w:t xml:space="preserve"> </w:t>
      </w:r>
    </w:p>
    <w:p w14:paraId="505C10A5"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hAnsi="Times New Roman" w:cs="Times New Roman"/>
          <w:color w:val="000000"/>
          <w:sz w:val="24"/>
        </w:rPr>
        <w:t xml:space="preserve"> </w:t>
      </w:r>
    </w:p>
    <w:p w14:paraId="76F75C22" w14:textId="77777777" w:rsidR="000C0755" w:rsidRPr="00763AFE" w:rsidRDefault="00000000">
      <w:pPr>
        <w:ind w:left="211" w:right="26"/>
        <w:rPr>
          <w:rFonts w:ascii="Times New Roman" w:hAnsi="Times New Roman" w:cs="Times New Roman"/>
          <w:sz w:val="24"/>
        </w:rPr>
      </w:pPr>
      <w:r w:rsidRPr="00763AFE">
        <w:rPr>
          <w:rFonts w:ascii="Times New Roman" w:hAnsi="Times New Roman" w:cs="Times New Roman"/>
          <w:sz w:val="24"/>
        </w:rPr>
        <w:t xml:space="preserve">Attendu que Mme </w:t>
      </w:r>
      <w:proofErr w:type="gramStart"/>
      <w:r w:rsidRPr="00763AFE">
        <w:rPr>
          <w:rFonts w:ascii="Times New Roman" w:hAnsi="Times New Roman" w:cs="Times New Roman"/>
          <w:sz w:val="24"/>
        </w:rPr>
        <w:t>X...</w:t>
      </w:r>
      <w:proofErr w:type="gramEnd"/>
      <w:r w:rsidRPr="00763AFE">
        <w:rPr>
          <w:rFonts w:ascii="Times New Roman" w:hAnsi="Times New Roman" w:cs="Times New Roman"/>
          <w:sz w:val="24"/>
        </w:rPr>
        <w:t xml:space="preserve"> fait grief à l'arrêt attaqué (Paris, 19 juin 2009) de l'avoir déboutée de ses demandes tendant à voir la société Sanofi Pasteur MSD déclarée entièrement responsable de la survenue de la sclérose en plaques dont elle est atteinte et condamnée à l'indemniser de ses préjudices, alors, selon le moyen :</w:t>
      </w:r>
      <w:r w:rsidRPr="00763AFE">
        <w:rPr>
          <w:rFonts w:ascii="Times New Roman" w:hAnsi="Times New Roman" w:cs="Times New Roman"/>
          <w:color w:val="000000"/>
          <w:sz w:val="24"/>
        </w:rPr>
        <w:t xml:space="preserve"> </w:t>
      </w:r>
    </w:p>
    <w:p w14:paraId="0A968E86"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hAnsi="Times New Roman" w:cs="Times New Roman"/>
          <w:color w:val="000000"/>
          <w:sz w:val="24"/>
        </w:rPr>
        <w:t xml:space="preserve"> </w:t>
      </w:r>
    </w:p>
    <w:p w14:paraId="4CE65C0F" w14:textId="77777777" w:rsidR="000C0755" w:rsidRPr="00763AFE" w:rsidRDefault="00000000">
      <w:pPr>
        <w:ind w:left="211" w:right="26"/>
        <w:rPr>
          <w:rFonts w:ascii="Times New Roman" w:hAnsi="Times New Roman" w:cs="Times New Roman"/>
          <w:sz w:val="24"/>
        </w:rPr>
      </w:pPr>
      <w:r w:rsidRPr="00763AFE">
        <w:rPr>
          <w:rFonts w:ascii="Times New Roman" w:hAnsi="Times New Roman" w:cs="Times New Roman"/>
          <w:sz w:val="24"/>
        </w:rPr>
        <w:t>1°/ qu'un produit est défectueux lorsqu'il n'offre pas la sécurité à laquelle on peut légitimement s'attendre</w:t>
      </w:r>
      <w:r w:rsidRPr="00763AFE">
        <w:rPr>
          <w:rFonts w:ascii="Times New Roman" w:hAnsi="Times New Roman" w:cs="Times New Roman"/>
          <w:color w:val="000000"/>
          <w:sz w:val="24"/>
        </w:rPr>
        <w:t xml:space="preserve"> </w:t>
      </w:r>
      <w:r w:rsidRPr="00763AFE">
        <w:rPr>
          <w:rFonts w:ascii="Times New Roman" w:hAnsi="Times New Roman" w:cs="Times New Roman"/>
          <w:sz w:val="24"/>
        </w:rPr>
        <w:t xml:space="preserve">; que dans l'appréciation de cette exigence, il doit être tenu compte, notamment, de la présentation du produit, de l'usage qui peut en être raisonnablement attendu, et du moment de sa mise en circulation ; qu'en affirmant que le vaccin </w:t>
      </w:r>
      <w:proofErr w:type="spellStart"/>
      <w:r w:rsidRPr="00763AFE">
        <w:rPr>
          <w:rFonts w:ascii="Times New Roman" w:hAnsi="Times New Roman" w:cs="Times New Roman"/>
          <w:sz w:val="24"/>
        </w:rPr>
        <w:t>Génhévac</w:t>
      </w:r>
      <w:proofErr w:type="spellEnd"/>
      <w:r w:rsidRPr="00763AFE">
        <w:rPr>
          <w:rFonts w:ascii="Times New Roman" w:hAnsi="Times New Roman" w:cs="Times New Roman"/>
          <w:sz w:val="24"/>
        </w:rPr>
        <w:t xml:space="preserve"> B fabriqué par la société Pasteur vaccins et injecté à Mme X... en 1994 et 1995 ne présentait pas le caractère d'un produit défectueux, après avoir constaté que le dictionnaire médical Vidal 1996 indiquait comme effet indésirable possible la poussée de sclérose en plaques dans les semaines suivant la vaccination, quand la notice de présentation du produit litigieux</w:t>
      </w:r>
      <w:r w:rsidRPr="00763AFE">
        <w:rPr>
          <w:rFonts w:ascii="Times New Roman" w:hAnsi="Times New Roman" w:cs="Times New Roman"/>
          <w:color w:val="000000"/>
          <w:sz w:val="24"/>
        </w:rPr>
        <w:t xml:space="preserve"> </w:t>
      </w:r>
      <w:r w:rsidRPr="00763AFE">
        <w:rPr>
          <w:rFonts w:ascii="Times New Roman" w:hAnsi="Times New Roman" w:cs="Times New Roman"/>
          <w:sz w:val="24"/>
        </w:rPr>
        <w:t>injecté à Mme X... ne contenait pas cette information, de sorte que le vaccin présentait le caractère d'un produit défectueux, la cour d'appel n'a pas tiré les conséquences légales de ses constatations, violant ainsi l'article 1147 du code civil, interprété à la lumière de la directive CEE n° 85-374 du 25 juillet 1985</w:t>
      </w:r>
      <w:r w:rsidRPr="00763AFE">
        <w:rPr>
          <w:rFonts w:ascii="Times New Roman" w:hAnsi="Times New Roman" w:cs="Times New Roman"/>
          <w:color w:val="000000"/>
          <w:sz w:val="24"/>
        </w:rPr>
        <w:t xml:space="preserve"> </w:t>
      </w:r>
    </w:p>
    <w:p w14:paraId="3C6679D3" w14:textId="77777777" w:rsidR="000C0755" w:rsidRPr="00763AFE" w:rsidRDefault="00000000">
      <w:pPr>
        <w:ind w:left="211" w:right="26"/>
        <w:rPr>
          <w:rFonts w:ascii="Times New Roman" w:hAnsi="Times New Roman" w:cs="Times New Roman"/>
          <w:sz w:val="24"/>
        </w:rPr>
      </w:pPr>
      <w:r w:rsidRPr="00763AFE">
        <w:rPr>
          <w:rFonts w:ascii="Times New Roman" w:hAnsi="Times New Roman" w:cs="Times New Roman"/>
          <w:sz w:val="24"/>
        </w:rPr>
        <w:t>;</w:t>
      </w:r>
      <w:r w:rsidRPr="00763AFE">
        <w:rPr>
          <w:rFonts w:ascii="Times New Roman" w:hAnsi="Times New Roman" w:cs="Times New Roman"/>
          <w:color w:val="000000"/>
          <w:sz w:val="24"/>
        </w:rPr>
        <w:t xml:space="preserve"> </w:t>
      </w:r>
    </w:p>
    <w:p w14:paraId="425C6D57"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hAnsi="Times New Roman" w:cs="Times New Roman"/>
          <w:color w:val="000000"/>
          <w:sz w:val="24"/>
        </w:rPr>
        <w:t xml:space="preserve"> </w:t>
      </w:r>
    </w:p>
    <w:p w14:paraId="6EDB8CB4" w14:textId="77777777" w:rsidR="000C0755" w:rsidRPr="00763AFE" w:rsidRDefault="00000000">
      <w:pPr>
        <w:ind w:left="211" w:right="26"/>
        <w:rPr>
          <w:rFonts w:ascii="Times New Roman" w:hAnsi="Times New Roman" w:cs="Times New Roman"/>
          <w:sz w:val="24"/>
        </w:rPr>
      </w:pPr>
      <w:r w:rsidRPr="00763AFE">
        <w:rPr>
          <w:rFonts w:ascii="Times New Roman" w:hAnsi="Times New Roman" w:cs="Times New Roman"/>
          <w:sz w:val="24"/>
        </w:rPr>
        <w:t xml:space="preserve">2°/ que la cour d'appel a constaté que les nombreuses études scientifiques nationales et internationales versées aux débats ne permettaient pas de dégager un consensus scientifique en faveur d'un lien de causalité entre la vaccination contre l'hépatite B et les affections démyélinisantes et qu'il n'existait pas d'association statistique significative permettant de déduire un tel lien, mais que celui-ci ne pouvait être exclu, l'existence d'une augmentation du risque de sclérose en plaques associée à la vaccination étant envisagée par quelques études et experts ; que la cour d'appel a relevé que les premières manifestations de la sclérose en plaques avaient eu lieu peu de temps (15 jours) après la dernière injection à Mme X... et que celle-ci ne présentait au plan individuel et familial aucun antécédent pouvant expliquer la survenue d'une </w:t>
      </w:r>
      <w:r w:rsidRPr="00763AFE">
        <w:rPr>
          <w:rFonts w:ascii="Times New Roman" w:hAnsi="Times New Roman" w:cs="Times New Roman"/>
          <w:sz w:val="24"/>
        </w:rPr>
        <w:lastRenderedPageBreak/>
        <w:t>sclérose en plaques ; qu'en affirmant néanmoins que ces faits ne constituaient pas des présomptions graves, précises et concordantes dont elle devait déduire un lien causal entre la vaccination de Mme X... et le préjudice subi par celle-ci, la cour d'appel n'a pas tiré les conséquences légales de ses constatations, violant ainsi l'article 1147 du code civil interprété à la lumière de la directive CEE n° 85-374 du 25 juillet 1985, ensemble l'article 1353 du même code ;</w:t>
      </w:r>
      <w:r w:rsidRPr="00763AFE">
        <w:rPr>
          <w:rFonts w:ascii="Times New Roman" w:hAnsi="Times New Roman" w:cs="Times New Roman"/>
          <w:color w:val="000000"/>
          <w:sz w:val="24"/>
        </w:rPr>
        <w:t xml:space="preserve"> </w:t>
      </w:r>
    </w:p>
    <w:p w14:paraId="77B1B705"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hAnsi="Times New Roman" w:cs="Times New Roman"/>
          <w:color w:val="000000"/>
          <w:sz w:val="24"/>
        </w:rPr>
        <w:t xml:space="preserve"> </w:t>
      </w:r>
    </w:p>
    <w:p w14:paraId="77C72EBA" w14:textId="77777777" w:rsidR="000C0755" w:rsidRPr="00763AFE" w:rsidRDefault="00000000">
      <w:pPr>
        <w:ind w:left="211" w:right="26"/>
        <w:rPr>
          <w:rFonts w:ascii="Times New Roman" w:hAnsi="Times New Roman" w:cs="Times New Roman"/>
          <w:sz w:val="24"/>
        </w:rPr>
      </w:pPr>
      <w:r w:rsidRPr="00763AFE">
        <w:rPr>
          <w:rFonts w:ascii="Times New Roman" w:hAnsi="Times New Roman" w:cs="Times New Roman"/>
          <w:sz w:val="24"/>
        </w:rPr>
        <w:t>Mais attendu qu'ayant apprécié la valeur et la portée des éléments de preuve qui lui étaient soumis, la cour d'appel a estimé souverainement qu'en l'absence de consensus scientifique en faveur d'un lien de causalité entre la vaccination et les affections démyélinisantes, le fait que Mme X... ne présentait aucun antécédent personnel ou familial et le fait que les premiers symptômes étaient apparus quinze jours après la dernière injection ne constituaient pas des présomptions graves, précises et concordantes en sorte que n'était pas établie une corrélation entre l'affection de Mme X... et la vaccination ; que, mal fondé en sa seconde branche, le moyen est inopérant en sa première branche ;</w:t>
      </w:r>
      <w:r w:rsidRPr="00763AFE">
        <w:rPr>
          <w:rFonts w:ascii="Times New Roman" w:hAnsi="Times New Roman" w:cs="Times New Roman"/>
          <w:color w:val="000000"/>
          <w:sz w:val="24"/>
        </w:rPr>
        <w:t xml:space="preserve"> </w:t>
      </w:r>
    </w:p>
    <w:p w14:paraId="2F5895C6"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hAnsi="Times New Roman" w:cs="Times New Roman"/>
          <w:color w:val="000000"/>
          <w:sz w:val="24"/>
        </w:rPr>
        <w:t xml:space="preserve"> </w:t>
      </w:r>
    </w:p>
    <w:p w14:paraId="74769EAC" w14:textId="77777777" w:rsidR="000C0755" w:rsidRPr="00763AFE" w:rsidRDefault="00000000">
      <w:pPr>
        <w:ind w:left="211" w:right="26"/>
        <w:rPr>
          <w:rFonts w:ascii="Times New Roman" w:hAnsi="Times New Roman" w:cs="Times New Roman"/>
          <w:sz w:val="24"/>
        </w:rPr>
      </w:pPr>
      <w:r w:rsidRPr="00763AFE">
        <w:rPr>
          <w:rFonts w:ascii="Times New Roman" w:hAnsi="Times New Roman" w:cs="Times New Roman"/>
          <w:sz w:val="24"/>
        </w:rPr>
        <w:t>PAR CES MOTIFS :</w:t>
      </w:r>
      <w:r w:rsidRPr="00763AFE">
        <w:rPr>
          <w:rFonts w:ascii="Times New Roman" w:hAnsi="Times New Roman" w:cs="Times New Roman"/>
          <w:color w:val="000000"/>
          <w:sz w:val="24"/>
        </w:rPr>
        <w:t xml:space="preserve"> </w:t>
      </w:r>
    </w:p>
    <w:p w14:paraId="05B23336"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hAnsi="Times New Roman" w:cs="Times New Roman"/>
          <w:color w:val="000000"/>
          <w:sz w:val="24"/>
        </w:rPr>
        <w:t xml:space="preserve"> </w:t>
      </w:r>
    </w:p>
    <w:p w14:paraId="2063425C" w14:textId="77777777" w:rsidR="000C0755" w:rsidRPr="00763AFE" w:rsidRDefault="00000000">
      <w:pPr>
        <w:ind w:left="211" w:right="26"/>
        <w:rPr>
          <w:rFonts w:ascii="Times New Roman" w:hAnsi="Times New Roman" w:cs="Times New Roman"/>
          <w:sz w:val="24"/>
        </w:rPr>
      </w:pPr>
      <w:r w:rsidRPr="00763AFE">
        <w:rPr>
          <w:rFonts w:ascii="Times New Roman" w:hAnsi="Times New Roman" w:cs="Times New Roman"/>
          <w:sz w:val="24"/>
        </w:rPr>
        <w:t>REJETTE le pourvoi ;</w:t>
      </w:r>
      <w:r w:rsidRPr="00763AFE">
        <w:rPr>
          <w:rFonts w:ascii="Times New Roman" w:hAnsi="Times New Roman" w:cs="Times New Roman"/>
          <w:color w:val="000000"/>
          <w:sz w:val="24"/>
        </w:rPr>
        <w:t xml:space="preserve"> </w:t>
      </w:r>
      <w:r w:rsidRPr="00763AFE">
        <w:rPr>
          <w:rFonts w:ascii="Times New Roman" w:hAnsi="Times New Roman" w:cs="Times New Roman"/>
          <w:sz w:val="24"/>
        </w:rPr>
        <w:br w:type="page"/>
      </w:r>
    </w:p>
    <w:p w14:paraId="1AF58F8D" w14:textId="77777777" w:rsidR="000C0755" w:rsidRPr="00763AFE" w:rsidRDefault="00000000">
      <w:pPr>
        <w:pStyle w:val="Titre1"/>
        <w:ind w:left="1281" w:hanging="720"/>
        <w:rPr>
          <w:rFonts w:ascii="Times New Roman" w:hAnsi="Times New Roman" w:cs="Times New Roman"/>
          <w:sz w:val="24"/>
        </w:rPr>
      </w:pPr>
      <w:r w:rsidRPr="00763AFE">
        <w:rPr>
          <w:rFonts w:ascii="Times New Roman" w:hAnsi="Times New Roman" w:cs="Times New Roman"/>
          <w:sz w:val="24"/>
        </w:rPr>
        <w:lastRenderedPageBreak/>
        <w:t>Faute de la victime et force majeure</w:t>
      </w:r>
      <w:r w:rsidRPr="00763AFE">
        <w:rPr>
          <w:rFonts w:ascii="Times New Roman" w:hAnsi="Times New Roman" w:cs="Times New Roman"/>
          <w:sz w:val="24"/>
          <w:u w:val="none"/>
        </w:rPr>
        <w:t xml:space="preserve"> </w:t>
      </w:r>
    </w:p>
    <w:p w14:paraId="5990DCAD" w14:textId="77777777" w:rsidR="000C0755" w:rsidRPr="00763AFE" w:rsidRDefault="00000000">
      <w:pPr>
        <w:spacing w:after="199" w:line="259" w:lineRule="auto"/>
        <w:ind w:left="0" w:firstLine="0"/>
        <w:jc w:val="left"/>
        <w:rPr>
          <w:rFonts w:ascii="Times New Roman" w:hAnsi="Times New Roman" w:cs="Times New Roman"/>
          <w:sz w:val="24"/>
        </w:rPr>
      </w:pPr>
      <w:r w:rsidRPr="00763AFE">
        <w:rPr>
          <w:rFonts w:ascii="Times New Roman" w:eastAsia="Calibri" w:hAnsi="Times New Roman" w:cs="Times New Roman"/>
          <w:b/>
          <w:color w:val="000000"/>
          <w:sz w:val="24"/>
        </w:rPr>
        <w:t xml:space="preserve"> </w:t>
      </w:r>
    </w:p>
    <w:p w14:paraId="256ECB7D" w14:textId="3BB97AFD" w:rsidR="000C0755" w:rsidRPr="00763AFE" w:rsidRDefault="00000000" w:rsidP="009619DB">
      <w:pPr>
        <w:jc w:val="left"/>
        <w:rPr>
          <w:rFonts w:ascii="Times New Roman" w:hAnsi="Times New Roman" w:cs="Times New Roman"/>
          <w:sz w:val="24"/>
        </w:rPr>
      </w:pPr>
      <w:r w:rsidRPr="00763AFE">
        <w:rPr>
          <w:rFonts w:ascii="Times New Roman" w:eastAsia="Calibri" w:hAnsi="Times New Roman" w:cs="Times New Roman"/>
          <w:b/>
          <w:color w:val="000000"/>
          <w:sz w:val="24"/>
          <w:u w:val="single" w:color="000000"/>
        </w:rPr>
        <w:t xml:space="preserve">Document </w:t>
      </w:r>
      <w:r w:rsidR="00697D9A">
        <w:rPr>
          <w:rFonts w:ascii="Times New Roman" w:eastAsia="Calibri" w:hAnsi="Times New Roman" w:cs="Times New Roman"/>
          <w:b/>
          <w:color w:val="000000"/>
          <w:sz w:val="24"/>
          <w:u w:val="single" w:color="000000"/>
        </w:rPr>
        <w:t>5</w:t>
      </w:r>
      <w:r w:rsidRPr="00763AFE">
        <w:rPr>
          <w:rFonts w:ascii="Times New Roman" w:eastAsia="Calibri" w:hAnsi="Times New Roman" w:cs="Times New Roman"/>
          <w:b/>
          <w:color w:val="000000"/>
          <w:sz w:val="24"/>
          <w:u w:val="single" w:color="000000"/>
        </w:rPr>
        <w:t xml:space="preserve"> - Cass. </w:t>
      </w:r>
      <w:proofErr w:type="spellStart"/>
      <w:r w:rsidRPr="00763AFE">
        <w:rPr>
          <w:rFonts w:ascii="Times New Roman" w:eastAsia="Calibri" w:hAnsi="Times New Roman" w:cs="Times New Roman"/>
          <w:b/>
          <w:color w:val="000000"/>
          <w:sz w:val="24"/>
          <w:u w:val="single" w:color="000000"/>
        </w:rPr>
        <w:t>Civ</w:t>
      </w:r>
      <w:proofErr w:type="spellEnd"/>
      <w:r w:rsidRPr="00763AFE">
        <w:rPr>
          <w:rFonts w:ascii="Times New Roman" w:eastAsia="Calibri" w:hAnsi="Times New Roman" w:cs="Times New Roman"/>
          <w:b/>
          <w:color w:val="000000"/>
          <w:sz w:val="24"/>
          <w:u w:val="single" w:color="000000"/>
        </w:rPr>
        <w:t xml:space="preserve">. 2e, 4 juillet 2013, n° 12-23562 </w:t>
      </w:r>
    </w:p>
    <w:p w14:paraId="268150CE" w14:textId="77777777" w:rsidR="000C0755" w:rsidRPr="00763AFE" w:rsidRDefault="00000000">
      <w:pPr>
        <w:spacing w:after="102" w:line="259" w:lineRule="auto"/>
        <w:ind w:left="0" w:firstLine="0"/>
        <w:jc w:val="left"/>
        <w:rPr>
          <w:rFonts w:ascii="Times New Roman" w:hAnsi="Times New Roman" w:cs="Times New Roman"/>
          <w:sz w:val="24"/>
        </w:rPr>
      </w:pPr>
      <w:r w:rsidRPr="00763AFE">
        <w:rPr>
          <w:rFonts w:ascii="Times New Roman" w:eastAsia="Calibri" w:hAnsi="Times New Roman" w:cs="Times New Roman"/>
          <w:b/>
          <w:color w:val="000000"/>
          <w:sz w:val="24"/>
        </w:rPr>
        <w:t xml:space="preserve"> </w:t>
      </w:r>
    </w:p>
    <w:p w14:paraId="4A05B2DF" w14:textId="77777777" w:rsidR="000C0755" w:rsidRPr="00763AFE" w:rsidRDefault="00000000">
      <w:pPr>
        <w:ind w:left="211" w:right="26"/>
        <w:rPr>
          <w:rFonts w:ascii="Times New Roman" w:hAnsi="Times New Roman" w:cs="Times New Roman"/>
          <w:sz w:val="24"/>
        </w:rPr>
      </w:pPr>
      <w:r w:rsidRPr="00763AFE">
        <w:rPr>
          <w:rFonts w:ascii="Times New Roman" w:hAnsi="Times New Roman" w:cs="Times New Roman"/>
          <w:sz w:val="24"/>
        </w:rPr>
        <w:t xml:space="preserve">Attendu, selon l'arrêt attaqué, que M. </w:t>
      </w:r>
      <w:proofErr w:type="gramStart"/>
      <w:r w:rsidRPr="00763AFE">
        <w:rPr>
          <w:rFonts w:ascii="Times New Roman" w:hAnsi="Times New Roman" w:cs="Times New Roman"/>
          <w:sz w:val="24"/>
        </w:rPr>
        <w:t>X...</w:t>
      </w:r>
      <w:proofErr w:type="gramEnd"/>
      <w:r w:rsidRPr="00763AFE">
        <w:rPr>
          <w:rFonts w:ascii="Times New Roman" w:hAnsi="Times New Roman" w:cs="Times New Roman"/>
          <w:sz w:val="24"/>
        </w:rPr>
        <w:t>, alors qu'il se trouvait le 6 mai 1999 au bord du quai de l'ancienne gare SNCF désaffectée d'Aulnat, a été percuté par un train ; que blessé, il a, après expertise médicale ordonnée en référé, assigné la SNCF, en présence de la caisse primaire d'assurance maladie du Puy-de-Dôme, afin d'obtenir la réparation de ses divers chefs de préjudices ;</w:t>
      </w:r>
      <w:r w:rsidRPr="00763AFE">
        <w:rPr>
          <w:rFonts w:ascii="Times New Roman" w:hAnsi="Times New Roman" w:cs="Times New Roman"/>
          <w:color w:val="000000"/>
          <w:sz w:val="24"/>
        </w:rPr>
        <w:t xml:space="preserve"> </w:t>
      </w:r>
    </w:p>
    <w:p w14:paraId="57ABEC27"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hAnsi="Times New Roman" w:cs="Times New Roman"/>
          <w:color w:val="000000"/>
          <w:sz w:val="24"/>
        </w:rPr>
        <w:t xml:space="preserve"> </w:t>
      </w:r>
    </w:p>
    <w:p w14:paraId="798F7785" w14:textId="77777777" w:rsidR="000C0755" w:rsidRPr="00763AFE" w:rsidRDefault="00000000">
      <w:pPr>
        <w:ind w:left="211" w:right="26"/>
        <w:rPr>
          <w:rFonts w:ascii="Times New Roman" w:hAnsi="Times New Roman" w:cs="Times New Roman"/>
          <w:sz w:val="24"/>
        </w:rPr>
      </w:pPr>
      <w:r w:rsidRPr="00763AFE">
        <w:rPr>
          <w:rFonts w:ascii="Times New Roman" w:hAnsi="Times New Roman" w:cs="Times New Roman"/>
          <w:sz w:val="24"/>
        </w:rPr>
        <w:t>Sur le premier moyen :</w:t>
      </w:r>
      <w:r w:rsidRPr="00763AFE">
        <w:rPr>
          <w:rFonts w:ascii="Times New Roman" w:hAnsi="Times New Roman" w:cs="Times New Roman"/>
          <w:color w:val="000000"/>
          <w:sz w:val="24"/>
        </w:rPr>
        <w:t xml:space="preserve"> </w:t>
      </w:r>
    </w:p>
    <w:p w14:paraId="0FE923FA"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hAnsi="Times New Roman" w:cs="Times New Roman"/>
          <w:color w:val="000000"/>
          <w:sz w:val="24"/>
        </w:rPr>
        <w:t xml:space="preserve"> </w:t>
      </w:r>
    </w:p>
    <w:p w14:paraId="7E15EEA1" w14:textId="77777777" w:rsidR="000C0755" w:rsidRPr="00763AFE" w:rsidRDefault="00000000">
      <w:pPr>
        <w:ind w:left="211" w:right="26"/>
        <w:rPr>
          <w:rFonts w:ascii="Times New Roman" w:hAnsi="Times New Roman" w:cs="Times New Roman"/>
          <w:sz w:val="24"/>
        </w:rPr>
      </w:pPr>
      <w:r w:rsidRPr="00763AFE">
        <w:rPr>
          <w:rFonts w:ascii="Times New Roman" w:hAnsi="Times New Roman" w:cs="Times New Roman"/>
          <w:sz w:val="24"/>
        </w:rPr>
        <w:t>Attendu que la SNCF fait grief à l'arrêt de la déclarer responsable de l'accident subi par M. X..., et de la condamner à réparer les préjudices en résultant dans la limite de 20 % de leur montant, alors, selon le moyen, que la force majeure exonératoire de responsabilité de la SNCF est caractérisée lorsque la victime a eu la volonté de produire le dommage auquel elle s'est exposée volontairement ; qu'en l'espèce, la cour d'appel qui, après avoir constaté les éléments suivants : position de la victime jambes pendantes au bord du quai d'une gare ouvert au passage d'un train pouvant survenir à tout moment, absence de réaction lorsque le conducteur du train avait actionné l'avertisseur sonore, ingestion d'un tube entier de Lexomil la nuit du 4 mai, appel des pompiers par l'épouse le matin du 6 mai et enfermement dans une pièce avec un couteau ce même 6 mai, n'en a pas déduit que M. X... s'était volontairement exposé au dommage qu'il avait subi, de sorte que la force majeure exonératoire de responsabilité pour la SNCF était caractérisée, a omis de tirer les conséquences légales qui s'induisaient de ses propres constatations au regard de l'article 1384, alinéa 1er, du code civil ;</w:t>
      </w:r>
      <w:r w:rsidRPr="00763AFE">
        <w:rPr>
          <w:rFonts w:ascii="Times New Roman" w:hAnsi="Times New Roman" w:cs="Times New Roman"/>
          <w:color w:val="000000"/>
          <w:sz w:val="24"/>
        </w:rPr>
        <w:t xml:space="preserve"> </w:t>
      </w:r>
    </w:p>
    <w:p w14:paraId="2A709B43"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hAnsi="Times New Roman" w:cs="Times New Roman"/>
          <w:color w:val="000000"/>
          <w:sz w:val="24"/>
        </w:rPr>
        <w:t xml:space="preserve"> </w:t>
      </w:r>
    </w:p>
    <w:p w14:paraId="3D012E16" w14:textId="77777777" w:rsidR="000C0755" w:rsidRPr="00763AFE" w:rsidRDefault="00000000">
      <w:pPr>
        <w:ind w:left="211" w:right="26"/>
        <w:rPr>
          <w:rFonts w:ascii="Times New Roman" w:hAnsi="Times New Roman" w:cs="Times New Roman"/>
          <w:sz w:val="24"/>
        </w:rPr>
      </w:pPr>
      <w:r w:rsidRPr="00763AFE">
        <w:rPr>
          <w:rFonts w:ascii="Times New Roman" w:hAnsi="Times New Roman" w:cs="Times New Roman"/>
          <w:sz w:val="24"/>
        </w:rPr>
        <w:t xml:space="preserve">Mais attendu que l'arrêt retient que l'accident était survenu dans une gare désaffectée qui ne comportait aucun dispositif, aucune signalétique ni aucun système empêchant d'entrer dans l'enceinte de la gare et d'accéder au bord du quai ; que la présence possible d'un piéton au comportement imprudent au bord du quai n'était pas imprévisible ; que l'exonération totale de responsabilité revendiquée par la SNCF ne pouvait se justifier qu'en présence d'une faute de la victime assimilable à un cas de force majeure, caractérisée lorsque la victime a eu la volonté de produire le dommage auquel elle s'est exposée, la SNCF ne pouvant se voir reprocher de ne pas prendre toutes mesures rendant impossible l'action volontaire de la victime à l'origine de son dommage ; que, pour prétendre échapper à toute responsabilité et obligation indemnitaire, la SNCF s'attachait à soutenir que M. X... aurait eu une intention suicidaire ; que, cependant, il était établi que M. X... était assis au bord du quai, lorsqu'à une centaine de mètres de distance, le conducteur du train qui arrivait l'ayant vu avait alors fait usage à plusieurs reprises de l'avertisseur sonore afin de signaler son approche ; que M. X... n'avait eu aucune réaction ; que, réalisant que le train ne pourrait pas passer sans accrocher la personne restant dans cette position, le conducteur avait immédiatement fait usage du système de freinage d'urgence ; que, toutefois, le train avait heurté M. X..., parcourant environ 500 mètres, distance inéluctable, avant de parvenir à une immobilisation totale ; qu'il était évident qu'un freinage intervenu quelques secondes plus tôt n'aurait en rien permis de prévenir l'accident ou d'en limiter les conséquences ; que le comportement de la victime, resté passif, assis sur le bord du quai à proximité d'une voie apparemment relativement peu fréquentée, les jambes pendantes, ne pouvait être assimilé à celui d'une personne qui, ayant la volonté d'attenter à ses jours, vient se jeter sous un train à </w:t>
      </w:r>
      <w:r w:rsidRPr="00763AFE">
        <w:rPr>
          <w:rFonts w:ascii="Times New Roman" w:hAnsi="Times New Roman" w:cs="Times New Roman"/>
          <w:sz w:val="24"/>
        </w:rPr>
        <w:lastRenderedPageBreak/>
        <w:t>son passage ; que la thèse du suicide était d'ailleurs contredite par les éléments médicaux du dossier ; que les psychiatres qui avaient examiné M. X..., dans les semaines qui avaient suivi l'accident, avaient indiqué de manière catégorique que les événements du jeudi 6 mai dans la matinée ne permettaient pas de retenir la thèse d'un réel désir de se donner la mort ou celle d'une tentative de suicide ; qu'il résultait des pièces versées aux débats que</w:t>
      </w:r>
      <w:r w:rsidRPr="00763AFE">
        <w:rPr>
          <w:rFonts w:ascii="Times New Roman" w:hAnsi="Times New Roman" w:cs="Times New Roman"/>
          <w:color w:val="000000"/>
          <w:sz w:val="24"/>
        </w:rPr>
        <w:t xml:space="preserve"> </w:t>
      </w:r>
      <w:r w:rsidRPr="00763AFE">
        <w:rPr>
          <w:rFonts w:ascii="Times New Roman" w:hAnsi="Times New Roman" w:cs="Times New Roman"/>
          <w:sz w:val="24"/>
        </w:rPr>
        <w:t>M. X... était dans un état de grande détresse depuis au moins 48 heures avant l'accident ; que, dans ses déclarations recueillies le 25 juin 1999 par les services de police, M. X... indiquait qu'il se trouvait dans une période de grande fatigue physique et surtout morale ; qu'il s'était rendu chez son médecin traitant qui lui avait prescrit du Lexomil à prendre à raison d'un comprimé le soir ; que, dans la nuit du 4 mai, il avait avalé la totalité du tube, avait dormi toute la journée du lendemain, 5 mai, et la nuit du 5 au 6 mai ; que, depuis le matin du 6 mai, il ne se souvenait plus de rien ; que, selon les informations données par son épouse, il s'était levé à 10 heures, avait souhaité prendre l'air alors qu'il était très énervé ; que son épouse avait appelé le médecin traitant et, sur les conseils de ce dernier, avait alerté les pompiers qui étaient intervenus, mais n'avaient pas pu le prendre en charge en l'absence de certificat médical d'un médecin ; qu'il était parti seul à pied, ne se souvenant plus dans quelle direction ni comment il s'était retrouvé sur le quai ; que le fait de s'être enfermé le matin du 6 mai dans une pièce</w:t>
      </w:r>
      <w:r w:rsidRPr="00763AFE">
        <w:rPr>
          <w:rFonts w:ascii="Times New Roman" w:hAnsi="Times New Roman" w:cs="Times New Roman"/>
          <w:color w:val="000000"/>
          <w:sz w:val="24"/>
        </w:rPr>
        <w:t xml:space="preserve"> </w:t>
      </w:r>
    </w:p>
    <w:p w14:paraId="7151C62D" w14:textId="15FE9E1A" w:rsidR="000C0755" w:rsidRPr="00763AFE" w:rsidRDefault="00000000" w:rsidP="00B03B6C">
      <w:pPr>
        <w:ind w:left="216" w:right="26" w:firstLine="0"/>
        <w:rPr>
          <w:rFonts w:ascii="Times New Roman" w:hAnsi="Times New Roman" w:cs="Times New Roman"/>
          <w:sz w:val="24"/>
        </w:rPr>
      </w:pPr>
      <w:r w:rsidRPr="00763AFE">
        <w:rPr>
          <w:rFonts w:ascii="Times New Roman" w:hAnsi="Times New Roman" w:cs="Times New Roman"/>
          <w:sz w:val="24"/>
        </w:rPr>
        <w:t>de son domicile avec un couteau dénotait certes l'état de confusion mentale dans lequel se trouvait M. X..., sans concrétiser pour autant l'hypothèse d'une tentative suicidaire qui n'avait pas eu lieu et qu'il contestait ; qu'ainsi, les éléments de la force majeure qui pourraient permettre l'exonération totale de responsabilité de la SNCF n'étaient pas réunies ; que, néanmoins, il était amplement démontré une faute d'imprudence particulièrement grave de la victime, assise les jambes pendantes au bord d'un quai ouvert au passage de trains, pouvant survenir à tout moment et sans faculté d'évitement compte tenu des distances inéluctables d'arrêt d'un train, de l'ordre de plusieurs centaines de mètres après le début du freinage ; qu'étant en lien de causalité avec le dommage, cette faute exonérait partiellement le gardien, dans une proportion importante qu'il convenait de fixer en l'espèce à 80 %, la part de responsabilité incombant à la SNCF devant être limitée à l'indemnisation de 20 % des dommages subis par M. X... ;</w:t>
      </w:r>
      <w:r w:rsidRPr="00763AFE">
        <w:rPr>
          <w:rFonts w:ascii="Times New Roman" w:hAnsi="Times New Roman" w:cs="Times New Roman"/>
          <w:color w:val="000000"/>
          <w:sz w:val="24"/>
        </w:rPr>
        <w:t xml:space="preserve"> </w:t>
      </w:r>
    </w:p>
    <w:p w14:paraId="692C916C"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hAnsi="Times New Roman" w:cs="Times New Roman"/>
          <w:color w:val="000000"/>
          <w:sz w:val="24"/>
        </w:rPr>
        <w:t xml:space="preserve"> </w:t>
      </w:r>
    </w:p>
    <w:p w14:paraId="6DD3DDC8" w14:textId="77777777" w:rsidR="000C0755" w:rsidRPr="00763AFE" w:rsidRDefault="00000000">
      <w:pPr>
        <w:ind w:left="211" w:right="26"/>
        <w:rPr>
          <w:rFonts w:ascii="Times New Roman" w:hAnsi="Times New Roman" w:cs="Times New Roman"/>
          <w:sz w:val="24"/>
        </w:rPr>
      </w:pPr>
      <w:r w:rsidRPr="00763AFE">
        <w:rPr>
          <w:rFonts w:ascii="Times New Roman" w:hAnsi="Times New Roman" w:cs="Times New Roman"/>
          <w:sz w:val="24"/>
        </w:rPr>
        <w:t>Que de ces constatations et énonciations procédant de son appréciation souveraine de la valeur et de la portée des éléments de preuve, la cour d'appel a pu déduire que la SNCF ne s'exonérait pas de sa responsabilité du dommage causé par le fait du train dont elle avait la garde par l'effet d'un événement de force majeure imprévisible et irrésistible, et statuer comme elle l'a fait sur l'indemnisation demeurant à sa charge par suite de la faute commise par la victime ;</w:t>
      </w:r>
      <w:r w:rsidRPr="00763AFE">
        <w:rPr>
          <w:rFonts w:ascii="Times New Roman" w:hAnsi="Times New Roman" w:cs="Times New Roman"/>
          <w:color w:val="000000"/>
          <w:sz w:val="24"/>
        </w:rPr>
        <w:t xml:space="preserve"> </w:t>
      </w:r>
    </w:p>
    <w:p w14:paraId="73F04407"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hAnsi="Times New Roman" w:cs="Times New Roman"/>
          <w:color w:val="000000"/>
          <w:sz w:val="24"/>
        </w:rPr>
        <w:t xml:space="preserve"> </w:t>
      </w:r>
    </w:p>
    <w:p w14:paraId="636EC2D7" w14:textId="77777777" w:rsidR="000C0755" w:rsidRPr="00763AFE" w:rsidRDefault="00000000">
      <w:pPr>
        <w:spacing w:after="221"/>
        <w:ind w:left="211" w:right="26"/>
        <w:rPr>
          <w:rFonts w:ascii="Times New Roman" w:hAnsi="Times New Roman" w:cs="Times New Roman"/>
          <w:sz w:val="24"/>
        </w:rPr>
      </w:pPr>
      <w:r w:rsidRPr="00763AFE">
        <w:rPr>
          <w:rFonts w:ascii="Times New Roman" w:hAnsi="Times New Roman" w:cs="Times New Roman"/>
          <w:sz w:val="24"/>
        </w:rPr>
        <w:t xml:space="preserve">D'où il suit que le moyen n'est pas fondé ; </w:t>
      </w:r>
    </w:p>
    <w:p w14:paraId="63CC8150" w14:textId="77777777" w:rsidR="00B03B6C" w:rsidRDefault="00B03B6C">
      <w:pPr>
        <w:spacing w:after="0" w:line="259" w:lineRule="auto"/>
        <w:ind w:left="576" w:firstLine="0"/>
        <w:jc w:val="left"/>
        <w:rPr>
          <w:rFonts w:ascii="Times New Roman" w:hAnsi="Times New Roman" w:cs="Times New Roman"/>
          <w:sz w:val="24"/>
        </w:rPr>
      </w:pPr>
    </w:p>
    <w:p w14:paraId="34880632" w14:textId="6B16C690" w:rsidR="000C0755" w:rsidRPr="00763AFE" w:rsidRDefault="00000000">
      <w:pPr>
        <w:spacing w:after="0" w:line="259" w:lineRule="auto"/>
        <w:ind w:left="576" w:firstLine="0"/>
        <w:jc w:val="left"/>
        <w:rPr>
          <w:rFonts w:ascii="Times New Roman" w:hAnsi="Times New Roman" w:cs="Times New Roman"/>
          <w:sz w:val="24"/>
        </w:rPr>
      </w:pPr>
      <w:r w:rsidRPr="00763AFE">
        <w:rPr>
          <w:rFonts w:ascii="Times New Roman" w:eastAsia="Calibri" w:hAnsi="Times New Roman" w:cs="Times New Roman"/>
          <w:b/>
          <w:color w:val="000000"/>
          <w:sz w:val="24"/>
          <w:u w:val="single" w:color="000000"/>
        </w:rPr>
        <w:t>EXERCICES :</w:t>
      </w:r>
      <w:r w:rsidRPr="00763AFE">
        <w:rPr>
          <w:rFonts w:ascii="Times New Roman" w:eastAsia="Calibri" w:hAnsi="Times New Roman" w:cs="Times New Roman"/>
          <w:b/>
          <w:color w:val="000000"/>
          <w:sz w:val="24"/>
        </w:rPr>
        <w:t xml:space="preserve"> </w:t>
      </w:r>
    </w:p>
    <w:p w14:paraId="61626CC0"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eastAsia="Calibri" w:hAnsi="Times New Roman" w:cs="Times New Roman"/>
          <w:color w:val="000000"/>
          <w:sz w:val="24"/>
        </w:rPr>
        <w:t xml:space="preserve"> </w:t>
      </w:r>
    </w:p>
    <w:p w14:paraId="17F2F19F" w14:textId="32545B65" w:rsidR="000C0755" w:rsidRPr="00763AFE" w:rsidRDefault="00000000">
      <w:pPr>
        <w:tabs>
          <w:tab w:val="center" w:pos="393"/>
          <w:tab w:val="center" w:pos="3986"/>
        </w:tabs>
        <w:spacing w:after="0" w:line="259" w:lineRule="auto"/>
        <w:ind w:left="0" w:firstLine="0"/>
        <w:jc w:val="left"/>
        <w:rPr>
          <w:rFonts w:ascii="Times New Roman" w:hAnsi="Times New Roman" w:cs="Times New Roman"/>
          <w:sz w:val="24"/>
        </w:rPr>
      </w:pPr>
      <w:r w:rsidRPr="00763AFE">
        <w:rPr>
          <w:rFonts w:ascii="Times New Roman" w:eastAsia="Calibri" w:hAnsi="Times New Roman" w:cs="Times New Roman"/>
          <w:color w:val="000000"/>
          <w:sz w:val="24"/>
        </w:rPr>
        <w:tab/>
      </w:r>
      <w:r w:rsidRPr="00763AFE">
        <w:rPr>
          <w:rFonts w:ascii="Times New Roman" w:hAnsi="Times New Roman" w:cs="Times New Roman"/>
          <w:color w:val="000000"/>
          <w:sz w:val="24"/>
        </w:rPr>
        <w:t xml:space="preserve">- </w:t>
      </w:r>
      <w:r w:rsidRPr="00763AFE">
        <w:rPr>
          <w:rFonts w:ascii="Times New Roman" w:hAnsi="Times New Roman" w:cs="Times New Roman"/>
          <w:color w:val="000000"/>
          <w:sz w:val="24"/>
        </w:rPr>
        <w:tab/>
        <w:t xml:space="preserve">Commentaire d’arrêt (Document </w:t>
      </w:r>
      <w:r w:rsidR="00697D9A">
        <w:rPr>
          <w:rFonts w:ascii="Times New Roman" w:hAnsi="Times New Roman" w:cs="Times New Roman"/>
          <w:color w:val="000000"/>
          <w:sz w:val="24"/>
        </w:rPr>
        <w:t>4</w:t>
      </w:r>
      <w:r w:rsidRPr="00763AFE">
        <w:rPr>
          <w:rFonts w:ascii="Times New Roman" w:hAnsi="Times New Roman" w:cs="Times New Roman"/>
          <w:color w:val="000000"/>
          <w:sz w:val="24"/>
        </w:rPr>
        <w:t xml:space="preserve"> - </w:t>
      </w:r>
      <w:r w:rsidRPr="00763AFE">
        <w:rPr>
          <w:rFonts w:ascii="Times New Roman" w:hAnsi="Times New Roman" w:cs="Times New Roman"/>
          <w:b/>
          <w:color w:val="000000"/>
          <w:sz w:val="24"/>
        </w:rPr>
        <w:t xml:space="preserve">Cass. </w:t>
      </w:r>
      <w:proofErr w:type="spellStart"/>
      <w:r w:rsidRPr="00763AFE">
        <w:rPr>
          <w:rFonts w:ascii="Times New Roman" w:hAnsi="Times New Roman" w:cs="Times New Roman"/>
          <w:b/>
          <w:color w:val="000000"/>
          <w:sz w:val="24"/>
        </w:rPr>
        <w:t>Civ</w:t>
      </w:r>
      <w:proofErr w:type="spellEnd"/>
      <w:r w:rsidRPr="00763AFE">
        <w:rPr>
          <w:rFonts w:ascii="Times New Roman" w:hAnsi="Times New Roman" w:cs="Times New Roman"/>
          <w:b/>
          <w:color w:val="000000"/>
          <w:sz w:val="24"/>
        </w:rPr>
        <w:t>. 1ère, 25 novembre 2010</w:t>
      </w:r>
      <w:r w:rsidRPr="00763AFE">
        <w:rPr>
          <w:rFonts w:ascii="Times New Roman" w:hAnsi="Times New Roman" w:cs="Times New Roman"/>
          <w:color w:val="000000"/>
          <w:sz w:val="24"/>
        </w:rPr>
        <w:t>)</w:t>
      </w:r>
      <w:r w:rsidRPr="00763AFE">
        <w:rPr>
          <w:rFonts w:ascii="Times New Roman" w:eastAsia="Calibri" w:hAnsi="Times New Roman" w:cs="Times New Roman"/>
          <w:color w:val="000000"/>
          <w:sz w:val="24"/>
        </w:rPr>
        <w:t xml:space="preserve"> </w:t>
      </w:r>
    </w:p>
    <w:p w14:paraId="5E2C1B81"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eastAsia="Calibri" w:hAnsi="Times New Roman" w:cs="Times New Roman"/>
          <w:color w:val="000000"/>
          <w:sz w:val="24"/>
        </w:rPr>
        <w:t xml:space="preserve"> </w:t>
      </w:r>
    </w:p>
    <w:p w14:paraId="5D280D49"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eastAsia="Calibri" w:hAnsi="Times New Roman" w:cs="Times New Roman"/>
          <w:color w:val="000000"/>
          <w:sz w:val="24"/>
        </w:rPr>
        <w:t xml:space="preserve"> </w:t>
      </w:r>
    </w:p>
    <w:p w14:paraId="64929929" w14:textId="77777777" w:rsidR="000C0755" w:rsidRPr="00763AFE" w:rsidRDefault="00000000">
      <w:pPr>
        <w:spacing w:after="0" w:line="259" w:lineRule="auto"/>
        <w:ind w:left="0" w:firstLine="0"/>
        <w:jc w:val="left"/>
        <w:rPr>
          <w:rFonts w:ascii="Times New Roman" w:hAnsi="Times New Roman" w:cs="Times New Roman"/>
          <w:sz w:val="24"/>
        </w:rPr>
      </w:pPr>
      <w:r w:rsidRPr="00763AFE">
        <w:rPr>
          <w:rFonts w:ascii="Times New Roman" w:eastAsia="Calibri" w:hAnsi="Times New Roman" w:cs="Times New Roman"/>
          <w:color w:val="000000"/>
          <w:sz w:val="24"/>
        </w:rPr>
        <w:t xml:space="preserve"> </w:t>
      </w:r>
    </w:p>
    <w:sectPr w:rsidR="000C0755" w:rsidRPr="00763AFE">
      <w:footerReference w:type="even" r:id="rId10"/>
      <w:footerReference w:type="default" r:id="rId11"/>
      <w:footerReference w:type="first" r:id="rId12"/>
      <w:pgSz w:w="11911" w:h="16841"/>
      <w:pgMar w:top="1400" w:right="1385" w:bottom="1235" w:left="1200" w:header="720"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0312D" w14:textId="77777777" w:rsidR="00CE2661" w:rsidRDefault="00CE2661">
      <w:pPr>
        <w:spacing w:after="0" w:line="240" w:lineRule="auto"/>
      </w:pPr>
      <w:r>
        <w:separator/>
      </w:r>
    </w:p>
  </w:endnote>
  <w:endnote w:type="continuationSeparator" w:id="0">
    <w:p w14:paraId="4E52AEE1" w14:textId="77777777" w:rsidR="00CE2661" w:rsidRDefault="00CE2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47B0B" w14:textId="77777777" w:rsidR="000C0755" w:rsidRDefault="00000000">
    <w:pPr>
      <w:tabs>
        <w:tab w:val="right" w:pos="9325"/>
      </w:tabs>
      <w:spacing w:after="0" w:line="259" w:lineRule="auto"/>
      <w:ind w:left="0" w:firstLine="0"/>
      <w:jc w:val="left"/>
    </w:pPr>
    <w:r>
      <w:rPr>
        <w:color w:val="000000"/>
      </w:rPr>
      <w:t xml:space="preserve"> </w:t>
    </w:r>
    <w:r>
      <w:rPr>
        <w:color w:val="000000"/>
      </w:rPr>
      <w:tab/>
    </w:r>
    <w:r>
      <w:rPr>
        <w:rFonts w:ascii="Calibri" w:eastAsia="Calibri" w:hAnsi="Calibri" w:cs="Calibri"/>
        <w:color w:val="000000"/>
        <w:sz w:val="24"/>
      </w:rPr>
      <w:t xml:space="preserve">Page </w:t>
    </w:r>
    <w:r>
      <w:fldChar w:fldCharType="begin"/>
    </w:r>
    <w:r>
      <w:instrText xml:space="preserve"> PAGE   \* MERGEFORMAT </w:instrText>
    </w:r>
    <w:r>
      <w:fldChar w:fldCharType="separate"/>
    </w:r>
    <w:r>
      <w:rPr>
        <w:rFonts w:ascii="Calibri" w:eastAsia="Calibri" w:hAnsi="Calibri" w:cs="Calibri"/>
        <w:b/>
        <w:color w:val="000000"/>
        <w:sz w:val="24"/>
      </w:rPr>
      <w:t>1</w:t>
    </w:r>
    <w:r>
      <w:rPr>
        <w:rFonts w:ascii="Calibri" w:eastAsia="Calibri" w:hAnsi="Calibri" w:cs="Calibri"/>
        <w:b/>
        <w:color w:val="000000"/>
        <w:sz w:val="24"/>
      </w:rPr>
      <w:fldChar w:fldCharType="end"/>
    </w:r>
    <w:r>
      <w:rPr>
        <w:rFonts w:ascii="Calibri" w:eastAsia="Calibri" w:hAnsi="Calibri" w:cs="Calibri"/>
        <w:b/>
        <w:color w:val="000000"/>
        <w:sz w:val="24"/>
      </w:rPr>
      <w:t xml:space="preserve"> </w:t>
    </w:r>
    <w:r>
      <w:rPr>
        <w:rFonts w:ascii="Calibri" w:eastAsia="Calibri" w:hAnsi="Calibri" w:cs="Calibri"/>
        <w:color w:val="000000"/>
        <w:sz w:val="24"/>
      </w:rPr>
      <w:t xml:space="preserve">sur </w:t>
    </w:r>
    <w:fldSimple w:instr=" NUMPAGES   \* MERGEFORMAT ">
      <w:r>
        <w:rPr>
          <w:rFonts w:ascii="Calibri" w:eastAsia="Calibri" w:hAnsi="Calibri" w:cs="Calibri"/>
          <w:b/>
          <w:color w:val="000000"/>
          <w:sz w:val="24"/>
        </w:rPr>
        <w:t>7</w:t>
      </w:r>
    </w:fldSimple>
    <w:r>
      <w:rPr>
        <w:rFonts w:ascii="Calibri" w:eastAsia="Calibri" w:hAnsi="Calibri" w:cs="Calibri"/>
        <w:b/>
        <w:color w:val="00000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44273" w14:textId="77777777" w:rsidR="000C0755" w:rsidRDefault="00000000">
    <w:pPr>
      <w:tabs>
        <w:tab w:val="right" w:pos="9325"/>
      </w:tabs>
      <w:spacing w:after="0" w:line="259" w:lineRule="auto"/>
      <w:ind w:left="0" w:firstLine="0"/>
      <w:jc w:val="left"/>
    </w:pPr>
    <w:r>
      <w:rPr>
        <w:color w:val="000000"/>
      </w:rPr>
      <w:t xml:space="preserve"> </w:t>
    </w:r>
    <w:r>
      <w:rPr>
        <w:color w:val="000000"/>
      </w:rPr>
      <w:tab/>
    </w:r>
    <w:r>
      <w:rPr>
        <w:rFonts w:ascii="Calibri" w:eastAsia="Calibri" w:hAnsi="Calibri" w:cs="Calibri"/>
        <w:color w:val="000000"/>
        <w:sz w:val="24"/>
      </w:rPr>
      <w:t xml:space="preserve">Page </w:t>
    </w:r>
    <w:r>
      <w:fldChar w:fldCharType="begin"/>
    </w:r>
    <w:r>
      <w:instrText xml:space="preserve"> PAGE   \* MERGEFORMAT </w:instrText>
    </w:r>
    <w:r>
      <w:fldChar w:fldCharType="separate"/>
    </w:r>
    <w:r>
      <w:rPr>
        <w:rFonts w:ascii="Calibri" w:eastAsia="Calibri" w:hAnsi="Calibri" w:cs="Calibri"/>
        <w:b/>
        <w:color w:val="000000"/>
        <w:sz w:val="24"/>
      </w:rPr>
      <w:t>1</w:t>
    </w:r>
    <w:r>
      <w:rPr>
        <w:rFonts w:ascii="Calibri" w:eastAsia="Calibri" w:hAnsi="Calibri" w:cs="Calibri"/>
        <w:b/>
        <w:color w:val="000000"/>
        <w:sz w:val="24"/>
      </w:rPr>
      <w:fldChar w:fldCharType="end"/>
    </w:r>
    <w:r>
      <w:rPr>
        <w:rFonts w:ascii="Calibri" w:eastAsia="Calibri" w:hAnsi="Calibri" w:cs="Calibri"/>
        <w:b/>
        <w:color w:val="000000"/>
        <w:sz w:val="24"/>
      </w:rPr>
      <w:t xml:space="preserve"> </w:t>
    </w:r>
    <w:r>
      <w:rPr>
        <w:rFonts w:ascii="Calibri" w:eastAsia="Calibri" w:hAnsi="Calibri" w:cs="Calibri"/>
        <w:color w:val="000000"/>
        <w:sz w:val="24"/>
      </w:rPr>
      <w:t xml:space="preserve">sur </w:t>
    </w:r>
    <w:fldSimple w:instr=" NUMPAGES   \* MERGEFORMAT ">
      <w:r>
        <w:rPr>
          <w:rFonts w:ascii="Calibri" w:eastAsia="Calibri" w:hAnsi="Calibri" w:cs="Calibri"/>
          <w:b/>
          <w:color w:val="000000"/>
          <w:sz w:val="24"/>
        </w:rPr>
        <w:t>7</w:t>
      </w:r>
    </w:fldSimple>
    <w:r>
      <w:rPr>
        <w:rFonts w:ascii="Calibri" w:eastAsia="Calibri" w:hAnsi="Calibri" w:cs="Calibri"/>
        <w:b/>
        <w:color w:val="00000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D7BF4" w14:textId="77777777" w:rsidR="000C0755" w:rsidRDefault="00000000">
    <w:pPr>
      <w:tabs>
        <w:tab w:val="right" w:pos="9325"/>
      </w:tabs>
      <w:spacing w:after="0" w:line="259" w:lineRule="auto"/>
      <w:ind w:left="0" w:firstLine="0"/>
      <w:jc w:val="left"/>
    </w:pPr>
    <w:r>
      <w:rPr>
        <w:color w:val="000000"/>
      </w:rPr>
      <w:t xml:space="preserve"> </w:t>
    </w:r>
    <w:r>
      <w:rPr>
        <w:color w:val="000000"/>
      </w:rPr>
      <w:tab/>
    </w:r>
    <w:r>
      <w:rPr>
        <w:rFonts w:ascii="Calibri" w:eastAsia="Calibri" w:hAnsi="Calibri" w:cs="Calibri"/>
        <w:color w:val="000000"/>
        <w:sz w:val="24"/>
      </w:rPr>
      <w:t xml:space="preserve">Page </w:t>
    </w:r>
    <w:r>
      <w:fldChar w:fldCharType="begin"/>
    </w:r>
    <w:r>
      <w:instrText xml:space="preserve"> PAGE   \* MERGEFORMAT </w:instrText>
    </w:r>
    <w:r>
      <w:fldChar w:fldCharType="separate"/>
    </w:r>
    <w:r>
      <w:rPr>
        <w:rFonts w:ascii="Calibri" w:eastAsia="Calibri" w:hAnsi="Calibri" w:cs="Calibri"/>
        <w:b/>
        <w:color w:val="000000"/>
        <w:sz w:val="24"/>
      </w:rPr>
      <w:t>1</w:t>
    </w:r>
    <w:r>
      <w:rPr>
        <w:rFonts w:ascii="Calibri" w:eastAsia="Calibri" w:hAnsi="Calibri" w:cs="Calibri"/>
        <w:b/>
        <w:color w:val="000000"/>
        <w:sz w:val="24"/>
      </w:rPr>
      <w:fldChar w:fldCharType="end"/>
    </w:r>
    <w:r>
      <w:rPr>
        <w:rFonts w:ascii="Calibri" w:eastAsia="Calibri" w:hAnsi="Calibri" w:cs="Calibri"/>
        <w:b/>
        <w:color w:val="000000"/>
        <w:sz w:val="24"/>
      </w:rPr>
      <w:t xml:space="preserve"> </w:t>
    </w:r>
    <w:r>
      <w:rPr>
        <w:rFonts w:ascii="Calibri" w:eastAsia="Calibri" w:hAnsi="Calibri" w:cs="Calibri"/>
        <w:color w:val="000000"/>
        <w:sz w:val="24"/>
      </w:rPr>
      <w:t xml:space="preserve">sur </w:t>
    </w:r>
    <w:fldSimple w:instr=" NUMPAGES   \* MERGEFORMAT ">
      <w:r>
        <w:rPr>
          <w:rFonts w:ascii="Calibri" w:eastAsia="Calibri" w:hAnsi="Calibri" w:cs="Calibri"/>
          <w:b/>
          <w:color w:val="000000"/>
          <w:sz w:val="24"/>
        </w:rPr>
        <w:t>7</w:t>
      </w:r>
    </w:fldSimple>
    <w:r>
      <w:rPr>
        <w:rFonts w:ascii="Calibri" w:eastAsia="Calibri" w:hAnsi="Calibri" w:cs="Calibri"/>
        <w:b/>
        <w:color w:val="00000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1CEDD" w14:textId="77777777" w:rsidR="00CE2661" w:rsidRDefault="00CE2661">
      <w:pPr>
        <w:spacing w:after="0" w:line="240" w:lineRule="auto"/>
      </w:pPr>
      <w:r>
        <w:separator/>
      </w:r>
    </w:p>
  </w:footnote>
  <w:footnote w:type="continuationSeparator" w:id="0">
    <w:p w14:paraId="3F40E861" w14:textId="77777777" w:rsidR="00CE2661" w:rsidRDefault="00CE26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4A7B64"/>
    <w:multiLevelType w:val="hybridMultilevel"/>
    <w:tmpl w:val="FE14CB6E"/>
    <w:lvl w:ilvl="0" w:tplc="DA84A26C">
      <w:start w:val="1"/>
      <w:numFmt w:val="upperRoman"/>
      <w:pStyle w:val="Titre1"/>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A378ACF4">
      <w:start w:val="1"/>
      <w:numFmt w:val="lowerLetter"/>
      <w:lvlText w:val="%2"/>
      <w:lvlJc w:val="left"/>
      <w:pPr>
        <w:ind w:left="165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B574B068">
      <w:start w:val="1"/>
      <w:numFmt w:val="lowerRoman"/>
      <w:lvlText w:val="%3"/>
      <w:lvlJc w:val="left"/>
      <w:pPr>
        <w:ind w:left="237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1402B46">
      <w:start w:val="1"/>
      <w:numFmt w:val="decimal"/>
      <w:lvlText w:val="%4"/>
      <w:lvlJc w:val="left"/>
      <w:pPr>
        <w:ind w:left="30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7D9A0662">
      <w:start w:val="1"/>
      <w:numFmt w:val="lowerLetter"/>
      <w:lvlText w:val="%5"/>
      <w:lvlJc w:val="left"/>
      <w:pPr>
        <w:ind w:left="381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988DF7E">
      <w:start w:val="1"/>
      <w:numFmt w:val="lowerRoman"/>
      <w:lvlText w:val="%6"/>
      <w:lvlJc w:val="left"/>
      <w:pPr>
        <w:ind w:left="453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843C56DA">
      <w:start w:val="1"/>
      <w:numFmt w:val="decimal"/>
      <w:lvlText w:val="%7"/>
      <w:lvlJc w:val="left"/>
      <w:pPr>
        <w:ind w:left="525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82F8CB32">
      <w:start w:val="1"/>
      <w:numFmt w:val="lowerLetter"/>
      <w:lvlText w:val="%8"/>
      <w:lvlJc w:val="left"/>
      <w:pPr>
        <w:ind w:left="597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DDB02DC4">
      <w:start w:val="1"/>
      <w:numFmt w:val="lowerRoman"/>
      <w:lvlText w:val="%9"/>
      <w:lvlJc w:val="left"/>
      <w:pPr>
        <w:ind w:left="66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num w:numId="1" w16cid:durableId="1285884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755"/>
    <w:rsid w:val="000303E3"/>
    <w:rsid w:val="000C0755"/>
    <w:rsid w:val="001431A3"/>
    <w:rsid w:val="00304951"/>
    <w:rsid w:val="003A7F9B"/>
    <w:rsid w:val="00530E04"/>
    <w:rsid w:val="00600A32"/>
    <w:rsid w:val="00697D9A"/>
    <w:rsid w:val="00763AFE"/>
    <w:rsid w:val="00823C9B"/>
    <w:rsid w:val="009619DB"/>
    <w:rsid w:val="00B03B6C"/>
    <w:rsid w:val="00C27999"/>
    <w:rsid w:val="00CE2661"/>
    <w:rsid w:val="00D44B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6B6033A"/>
  <w15:docId w15:val="{D7202A8F-FF45-344A-9311-23254B41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26" w:hanging="10"/>
      <w:jc w:val="both"/>
    </w:pPr>
    <w:rPr>
      <w:rFonts w:ascii="Arial" w:eastAsia="Arial" w:hAnsi="Arial" w:cs="Arial"/>
      <w:color w:val="252525"/>
      <w:sz w:val="20"/>
      <w:lang w:bidi="fr-FR"/>
    </w:rPr>
  </w:style>
  <w:style w:type="paragraph" w:styleId="Titre1">
    <w:name w:val="heading 1"/>
    <w:next w:val="Normal"/>
    <w:link w:val="Titre1Car"/>
    <w:uiPriority w:val="9"/>
    <w:qFormat/>
    <w:pPr>
      <w:keepNext/>
      <w:keepLines/>
      <w:numPr>
        <w:numId w:val="1"/>
      </w:numPr>
      <w:spacing w:after="0" w:line="259" w:lineRule="auto"/>
      <w:ind w:left="586" w:hanging="10"/>
      <w:outlineLvl w:val="0"/>
    </w:pPr>
    <w:rPr>
      <w:rFonts w:ascii="Calibri" w:eastAsia="Calibri" w:hAnsi="Calibri" w:cs="Calibri"/>
      <w:b/>
      <w:color w:val="000000"/>
      <w:sz w:val="28"/>
      <w:u w:val="single" w:color="00000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478522">
      <w:bodyDiv w:val="1"/>
      <w:marLeft w:val="0"/>
      <w:marRight w:val="0"/>
      <w:marTop w:val="0"/>
      <w:marBottom w:val="0"/>
      <w:divBdr>
        <w:top w:val="none" w:sz="0" w:space="0" w:color="auto"/>
        <w:left w:val="none" w:sz="0" w:space="0" w:color="auto"/>
        <w:bottom w:val="none" w:sz="0" w:space="0" w:color="auto"/>
        <w:right w:val="none" w:sz="0" w:space="0" w:color="auto"/>
      </w:divBdr>
    </w:div>
    <w:div w:id="1315721985">
      <w:bodyDiv w:val="1"/>
      <w:marLeft w:val="0"/>
      <w:marRight w:val="0"/>
      <w:marTop w:val="0"/>
      <w:marBottom w:val="0"/>
      <w:divBdr>
        <w:top w:val="none" w:sz="0" w:space="0" w:color="auto"/>
        <w:left w:val="none" w:sz="0" w:space="0" w:color="auto"/>
        <w:bottom w:val="none" w:sz="0" w:space="0" w:color="auto"/>
        <w:right w:val="none" w:sz="0" w:space="0" w:color="auto"/>
      </w:divBdr>
    </w:div>
    <w:div w:id="1391345010">
      <w:bodyDiv w:val="1"/>
      <w:marLeft w:val="0"/>
      <w:marRight w:val="0"/>
      <w:marTop w:val="0"/>
      <w:marBottom w:val="0"/>
      <w:divBdr>
        <w:top w:val="none" w:sz="0" w:space="0" w:color="auto"/>
        <w:left w:val="none" w:sz="0" w:space="0" w:color="auto"/>
        <w:bottom w:val="none" w:sz="0" w:space="0" w:color="auto"/>
        <w:right w:val="none" w:sz="0" w:space="0" w:color="auto"/>
      </w:divBdr>
    </w:div>
    <w:div w:id="1451893651">
      <w:bodyDiv w:val="1"/>
      <w:marLeft w:val="0"/>
      <w:marRight w:val="0"/>
      <w:marTop w:val="0"/>
      <w:marBottom w:val="0"/>
      <w:divBdr>
        <w:top w:val="none" w:sz="0" w:space="0" w:color="auto"/>
        <w:left w:val="none" w:sz="0" w:space="0" w:color="auto"/>
        <w:bottom w:val="none" w:sz="0" w:space="0" w:color="auto"/>
        <w:right w:val="none" w:sz="0" w:space="0" w:color="auto"/>
      </w:divBdr>
    </w:div>
    <w:div w:id="1900821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2905</Words>
  <Characters>15981</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Martinez</dc:creator>
  <cp:keywords/>
  <cp:lastModifiedBy>Emmanuel Dercourt</cp:lastModifiedBy>
  <cp:revision>14</cp:revision>
  <dcterms:created xsi:type="dcterms:W3CDTF">2026-03-29T15:54:00Z</dcterms:created>
  <dcterms:modified xsi:type="dcterms:W3CDTF">2026-03-29T16:09:00Z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2026-03-29T15:54:46Z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99631682-586e-4330-81b7-b9d9427f495b</vt:lpwstr>
  </property>
  <property fmtid="{D5CDD505-2E9C-101B-9397-08002B2CF9AE}" pid="8" name="MSIP_Label_d5c20be7-c3a5-46e3-9158-fa8a02ce2395_ContentBits">
    <vt:lpwstr>0</vt:lpwstr>
  </property>
</Properties>
</file>