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8D6912" w14:textId="77777777" w:rsidR="008D4F16" w:rsidRPr="00363419" w:rsidRDefault="008D4F16" w:rsidP="008D4F16">
      <w:pPr>
        <w:pBdr>
          <w:top w:val="single" w:sz="4" w:space="1" w:color="auto"/>
          <w:left w:val="single" w:sz="4" w:space="4" w:color="auto"/>
          <w:bottom w:val="single" w:sz="4" w:space="1" w:color="auto"/>
          <w:right w:val="single" w:sz="4" w:space="4" w:color="auto"/>
        </w:pBdr>
        <w:jc w:val="center"/>
        <w:rPr>
          <w:b/>
          <w:color w:val="000000" w:themeColor="text1"/>
          <w:sz w:val="32"/>
          <w:szCs w:val="32"/>
        </w:rPr>
      </w:pPr>
      <w:r w:rsidRPr="00363419">
        <w:rPr>
          <w:b/>
          <w:color w:val="000000" w:themeColor="text1"/>
          <w:sz w:val="32"/>
          <w:szCs w:val="32"/>
        </w:rPr>
        <w:t>IDAI</w:t>
      </w:r>
    </w:p>
    <w:p w14:paraId="5504A53D" w14:textId="77777777" w:rsidR="00D85DB1" w:rsidRPr="00363419" w:rsidRDefault="00D85DB1" w:rsidP="00D85DB1">
      <w:pPr>
        <w:pBdr>
          <w:top w:val="single" w:sz="4" w:space="1" w:color="auto"/>
          <w:left w:val="single" w:sz="4" w:space="4" w:color="auto"/>
          <w:bottom w:val="single" w:sz="4" w:space="1" w:color="auto"/>
          <w:right w:val="single" w:sz="4" w:space="4" w:color="auto"/>
        </w:pBdr>
        <w:jc w:val="center"/>
        <w:rPr>
          <w:b/>
          <w:color w:val="000000" w:themeColor="text1"/>
          <w:sz w:val="32"/>
          <w:szCs w:val="32"/>
        </w:rPr>
      </w:pPr>
      <w:r w:rsidRPr="00363419">
        <w:rPr>
          <w:b/>
          <w:color w:val="000000" w:themeColor="text1"/>
          <w:sz w:val="32"/>
          <w:szCs w:val="32"/>
        </w:rPr>
        <w:t>DROIT BANCAIRE</w:t>
      </w:r>
    </w:p>
    <w:p w14:paraId="2E43FCDD" w14:textId="77777777" w:rsidR="00D85DB1" w:rsidRPr="00363419" w:rsidRDefault="00D85DB1">
      <w:pPr>
        <w:rPr>
          <w:color w:val="000000" w:themeColor="text1"/>
        </w:rPr>
      </w:pPr>
    </w:p>
    <w:p w14:paraId="01486CC0" w14:textId="77777777" w:rsidR="00D85DB1" w:rsidRPr="00363419" w:rsidRDefault="00D85DB1">
      <w:pPr>
        <w:rPr>
          <w:b/>
          <w:color w:val="000000" w:themeColor="text1"/>
        </w:rPr>
      </w:pPr>
      <w:r w:rsidRPr="00363419">
        <w:rPr>
          <w:b/>
          <w:color w:val="000000" w:themeColor="text1"/>
        </w:rPr>
        <w:t>Cours de J. LASSERRE CAPDEVILLE</w:t>
      </w:r>
    </w:p>
    <w:p w14:paraId="5280B9A5" w14:textId="77777777" w:rsidR="00D85DB1" w:rsidRPr="00363419" w:rsidRDefault="00D85DB1">
      <w:pPr>
        <w:rPr>
          <w:color w:val="000000" w:themeColor="text1"/>
        </w:rPr>
      </w:pPr>
    </w:p>
    <w:p w14:paraId="2F5EDC1D" w14:textId="77777777" w:rsidR="00D85DB1" w:rsidRPr="00363419" w:rsidRDefault="00D85DB1">
      <w:pPr>
        <w:rPr>
          <w:color w:val="000000" w:themeColor="text1"/>
        </w:rPr>
      </w:pPr>
    </w:p>
    <w:p w14:paraId="652F1C6D" w14:textId="77777777" w:rsidR="00D85DB1" w:rsidRPr="00363419" w:rsidRDefault="00D85DB1">
      <w:pPr>
        <w:rPr>
          <w:color w:val="000000" w:themeColor="text1"/>
        </w:rPr>
      </w:pPr>
    </w:p>
    <w:p w14:paraId="5B625DE8" w14:textId="77777777" w:rsidR="00D15AB8" w:rsidRPr="00363419" w:rsidRDefault="00D15AB8" w:rsidP="00D15AB8">
      <w:pPr>
        <w:jc w:val="center"/>
        <w:rPr>
          <w:b/>
          <w:color w:val="000000" w:themeColor="text1"/>
          <w:sz w:val="32"/>
          <w:szCs w:val="32"/>
        </w:rPr>
      </w:pPr>
      <w:r w:rsidRPr="00363419">
        <w:rPr>
          <w:b/>
          <w:color w:val="000000" w:themeColor="text1"/>
          <w:sz w:val="32"/>
          <w:szCs w:val="32"/>
        </w:rPr>
        <w:t>TRAVAUX DIRIGÉS</w:t>
      </w:r>
    </w:p>
    <w:p w14:paraId="67B98517" w14:textId="77777777" w:rsidR="00D15AB8" w:rsidRPr="00363419" w:rsidRDefault="00D15AB8" w:rsidP="00D15AB8">
      <w:pPr>
        <w:rPr>
          <w:b/>
          <w:color w:val="000000" w:themeColor="text1"/>
        </w:rPr>
      </w:pPr>
    </w:p>
    <w:p w14:paraId="5333AE34" w14:textId="77777777" w:rsidR="00D15AB8" w:rsidRPr="00363419" w:rsidRDefault="00D15AB8" w:rsidP="00D15AB8">
      <w:pPr>
        <w:rPr>
          <w:b/>
          <w:color w:val="000000" w:themeColor="text1"/>
        </w:rPr>
      </w:pPr>
    </w:p>
    <w:p w14:paraId="00AEDB7C" w14:textId="77777777" w:rsidR="00D15AB8" w:rsidRPr="00363419" w:rsidRDefault="00D15AB8" w:rsidP="00D15AB8">
      <w:pPr>
        <w:jc w:val="right"/>
        <w:rPr>
          <w:b/>
          <w:color w:val="000000" w:themeColor="text1"/>
          <w:u w:val="single"/>
        </w:rPr>
      </w:pPr>
      <w:r w:rsidRPr="00363419">
        <w:rPr>
          <w:b/>
          <w:color w:val="000000" w:themeColor="text1"/>
          <w:u w:val="single"/>
        </w:rPr>
        <w:t>Équipe pédagogique :</w:t>
      </w:r>
    </w:p>
    <w:p w14:paraId="4F26C850" w14:textId="77777777" w:rsidR="00610E71" w:rsidRPr="00363419" w:rsidRDefault="00610E71" w:rsidP="00610E71">
      <w:pPr>
        <w:jc w:val="right"/>
        <w:rPr>
          <w:b/>
          <w:color w:val="000000" w:themeColor="text1"/>
        </w:rPr>
      </w:pPr>
      <w:r w:rsidRPr="00363419">
        <w:rPr>
          <w:b/>
          <w:color w:val="000000" w:themeColor="text1"/>
        </w:rPr>
        <w:t>E. DERCOURT</w:t>
      </w:r>
    </w:p>
    <w:p w14:paraId="1DDF7B9C" w14:textId="77777777" w:rsidR="00BD5295" w:rsidRPr="00363419" w:rsidRDefault="00BD5295" w:rsidP="00D15AB8">
      <w:pPr>
        <w:rPr>
          <w:color w:val="000000" w:themeColor="text1"/>
        </w:rPr>
      </w:pPr>
    </w:p>
    <w:p w14:paraId="2195C6BF" w14:textId="77777777" w:rsidR="00F9685A" w:rsidRPr="00363419" w:rsidRDefault="00F9685A" w:rsidP="00F9685A">
      <w:pPr>
        <w:rPr>
          <w:b/>
          <w:color w:val="000000" w:themeColor="text1"/>
        </w:rPr>
      </w:pPr>
      <w:r w:rsidRPr="00363419">
        <w:rPr>
          <w:b/>
          <w:color w:val="000000" w:themeColor="text1"/>
        </w:rPr>
        <w:t>Séance n° 2</w:t>
      </w:r>
    </w:p>
    <w:p w14:paraId="09F65446" w14:textId="77777777" w:rsidR="00F9685A" w:rsidRPr="00363419" w:rsidRDefault="00F9685A" w:rsidP="00F9685A">
      <w:pPr>
        <w:rPr>
          <w:color w:val="000000" w:themeColor="text1"/>
        </w:rPr>
      </w:pPr>
    </w:p>
    <w:p w14:paraId="4A0BAE76" w14:textId="77777777" w:rsidR="00F9685A" w:rsidRPr="00363419" w:rsidRDefault="00F9685A" w:rsidP="00F9685A">
      <w:pPr>
        <w:rPr>
          <w:color w:val="000000" w:themeColor="text1"/>
        </w:rPr>
      </w:pPr>
      <w:r w:rsidRPr="00363419">
        <w:rPr>
          <w:b/>
          <w:color w:val="000000" w:themeColor="text1"/>
        </w:rPr>
        <w:t>Thème :</w:t>
      </w:r>
      <w:r w:rsidRPr="00363419">
        <w:rPr>
          <w:color w:val="000000" w:themeColor="text1"/>
        </w:rPr>
        <w:t xml:space="preserve"> Les devoirs généraux pesant sur les établissements de crédit</w:t>
      </w:r>
    </w:p>
    <w:p w14:paraId="3D30C513" w14:textId="77777777" w:rsidR="00F9685A" w:rsidRPr="00363419" w:rsidRDefault="00F9685A" w:rsidP="00F9685A">
      <w:pPr>
        <w:rPr>
          <w:color w:val="000000" w:themeColor="text1"/>
        </w:rPr>
      </w:pPr>
    </w:p>
    <w:p w14:paraId="13054C70" w14:textId="77777777" w:rsidR="00F9685A" w:rsidRPr="00363419" w:rsidRDefault="00F9685A" w:rsidP="00F9685A">
      <w:pPr>
        <w:rPr>
          <w:color w:val="000000" w:themeColor="text1"/>
        </w:rPr>
      </w:pPr>
    </w:p>
    <w:p w14:paraId="4D5212B1" w14:textId="77777777" w:rsidR="00F9685A" w:rsidRPr="00363419" w:rsidRDefault="00F9685A" w:rsidP="00F9685A">
      <w:pPr>
        <w:rPr>
          <w:color w:val="000000" w:themeColor="text1"/>
        </w:rPr>
      </w:pPr>
    </w:p>
    <w:p w14:paraId="60A3FE5E" w14:textId="77777777" w:rsidR="00F9685A" w:rsidRPr="00363419" w:rsidRDefault="00F9685A" w:rsidP="00F9685A">
      <w:pPr>
        <w:rPr>
          <w:color w:val="000000" w:themeColor="text1"/>
        </w:rPr>
      </w:pPr>
    </w:p>
    <w:p w14:paraId="0E6255D6" w14:textId="77777777" w:rsidR="00F9685A" w:rsidRPr="00363419" w:rsidRDefault="00F9685A" w:rsidP="00F9685A">
      <w:pPr>
        <w:rPr>
          <w:color w:val="000000" w:themeColor="text1"/>
        </w:rPr>
      </w:pPr>
      <w:r w:rsidRPr="00363419">
        <w:rPr>
          <w:b/>
          <w:color w:val="000000" w:themeColor="text1"/>
          <w:u w:val="single"/>
        </w:rPr>
        <w:t>Arrêt à commenter</w:t>
      </w:r>
    </w:p>
    <w:p w14:paraId="6D83A59E" w14:textId="77777777" w:rsidR="00F9685A" w:rsidRPr="00363419" w:rsidRDefault="00F9685A" w:rsidP="00F9685A">
      <w:pPr>
        <w:rPr>
          <w:color w:val="000000" w:themeColor="text1"/>
        </w:rPr>
      </w:pPr>
    </w:p>
    <w:p w14:paraId="6E75850C" w14:textId="77777777" w:rsidR="00BD5295" w:rsidRPr="00363419" w:rsidRDefault="00610E71" w:rsidP="00BD5295">
      <w:pPr>
        <w:rPr>
          <w:b/>
          <w:color w:val="000000" w:themeColor="text1"/>
          <w:u w:val="single"/>
        </w:rPr>
      </w:pPr>
      <w:r w:rsidRPr="00363419">
        <w:rPr>
          <w:color w:val="000000" w:themeColor="text1"/>
        </w:rPr>
        <w:t>Cass. com., 19 novembre 2025, n° 24-18.534</w:t>
      </w:r>
    </w:p>
    <w:p w14:paraId="2D7E17B8" w14:textId="77777777" w:rsidR="008D3BF9" w:rsidRPr="00363419" w:rsidRDefault="008D3BF9" w:rsidP="00F9685A">
      <w:pPr>
        <w:rPr>
          <w:b/>
          <w:color w:val="000000" w:themeColor="text1"/>
          <w:u w:val="single"/>
        </w:rPr>
      </w:pPr>
    </w:p>
    <w:p w14:paraId="5960B925" w14:textId="77777777" w:rsidR="00366F3D" w:rsidRPr="00363419" w:rsidRDefault="00366F3D" w:rsidP="00F9685A">
      <w:pPr>
        <w:rPr>
          <w:color w:val="000000" w:themeColor="text1"/>
          <w:highlight w:val="yellow"/>
        </w:rPr>
      </w:pPr>
    </w:p>
    <w:p w14:paraId="6EABAF55" w14:textId="77777777" w:rsidR="00124B22" w:rsidRPr="00363419" w:rsidRDefault="00124B22" w:rsidP="00F9685A">
      <w:pPr>
        <w:rPr>
          <w:b/>
          <w:color w:val="000000" w:themeColor="text1"/>
          <w:u w:val="single"/>
        </w:rPr>
      </w:pPr>
    </w:p>
    <w:p w14:paraId="4B72497D" w14:textId="77777777" w:rsidR="00F9685A" w:rsidRPr="00363419" w:rsidRDefault="00F9685A" w:rsidP="00F9685A">
      <w:pPr>
        <w:rPr>
          <w:b/>
          <w:color w:val="000000" w:themeColor="text1"/>
          <w:u w:val="single"/>
        </w:rPr>
      </w:pPr>
      <w:r w:rsidRPr="00363419">
        <w:rPr>
          <w:b/>
          <w:color w:val="000000" w:themeColor="text1"/>
          <w:u w:val="single"/>
        </w:rPr>
        <w:t>Fiches d’arrêts à préparer (penser à dégager une problématique)</w:t>
      </w:r>
    </w:p>
    <w:p w14:paraId="7A7A12C1" w14:textId="77777777" w:rsidR="00BD5295" w:rsidRPr="00363419" w:rsidRDefault="00BD5295" w:rsidP="00F9685A">
      <w:pPr>
        <w:rPr>
          <w:color w:val="000000" w:themeColor="text1"/>
        </w:rPr>
      </w:pPr>
    </w:p>
    <w:p w14:paraId="382E67DB" w14:textId="77777777" w:rsidR="00F9685A" w:rsidRPr="00363419" w:rsidRDefault="00F9685A" w:rsidP="00F9685A">
      <w:pPr>
        <w:rPr>
          <w:color w:val="000000" w:themeColor="text1"/>
        </w:rPr>
      </w:pPr>
      <w:r w:rsidRPr="00363419">
        <w:rPr>
          <w:color w:val="000000" w:themeColor="text1"/>
        </w:rPr>
        <w:t>-Devoir de non-ingérence</w:t>
      </w:r>
    </w:p>
    <w:p w14:paraId="67530C0E" w14:textId="77777777" w:rsidR="00F9685A" w:rsidRPr="00363419" w:rsidRDefault="00F9685A" w:rsidP="00F9685A">
      <w:pPr>
        <w:rPr>
          <w:color w:val="000000" w:themeColor="text1"/>
        </w:rPr>
      </w:pPr>
    </w:p>
    <w:p w14:paraId="78026A92" w14:textId="77777777" w:rsidR="00CF5CDA" w:rsidRPr="00363419" w:rsidRDefault="00610E71" w:rsidP="00F9685A">
      <w:pPr>
        <w:rPr>
          <w:color w:val="000000" w:themeColor="text1"/>
        </w:rPr>
      </w:pPr>
      <w:r w:rsidRPr="00363419">
        <w:rPr>
          <w:color w:val="000000" w:themeColor="text1"/>
        </w:rPr>
        <w:t>Cass. com. 19 novembre 2025, n° 24-19.776</w:t>
      </w:r>
    </w:p>
    <w:p w14:paraId="0FBF5C0D" w14:textId="77777777" w:rsidR="00610E71" w:rsidRPr="00363419" w:rsidRDefault="00610E71" w:rsidP="00F9685A">
      <w:pPr>
        <w:rPr>
          <w:color w:val="000000" w:themeColor="text1"/>
        </w:rPr>
      </w:pPr>
    </w:p>
    <w:p w14:paraId="3B3B1FB0" w14:textId="77777777" w:rsidR="00610E71" w:rsidRPr="00363419" w:rsidRDefault="00610E71" w:rsidP="00F9685A">
      <w:pPr>
        <w:rPr>
          <w:color w:val="000000" w:themeColor="text1"/>
        </w:rPr>
      </w:pPr>
      <w:r w:rsidRPr="00363419">
        <w:rPr>
          <w:color w:val="000000" w:themeColor="text1"/>
        </w:rPr>
        <w:t>Cass. com., 14 janvier 2026, n° 24-19.102</w:t>
      </w:r>
    </w:p>
    <w:p w14:paraId="663B68EB" w14:textId="77777777" w:rsidR="00124B22" w:rsidRPr="00363419" w:rsidRDefault="00124B22" w:rsidP="00F9685A">
      <w:pPr>
        <w:rPr>
          <w:color w:val="000000" w:themeColor="text1"/>
        </w:rPr>
      </w:pPr>
    </w:p>
    <w:p w14:paraId="1034F23D" w14:textId="77777777" w:rsidR="00610E71" w:rsidRPr="00363419" w:rsidRDefault="00610E71" w:rsidP="00F9685A">
      <w:pPr>
        <w:rPr>
          <w:color w:val="000000" w:themeColor="text1"/>
        </w:rPr>
      </w:pPr>
    </w:p>
    <w:p w14:paraId="5A3DD318" w14:textId="77777777" w:rsidR="00F9685A" w:rsidRPr="00363419" w:rsidRDefault="00F9685A" w:rsidP="00F9685A">
      <w:pPr>
        <w:rPr>
          <w:color w:val="000000" w:themeColor="text1"/>
        </w:rPr>
      </w:pPr>
      <w:r w:rsidRPr="00363419">
        <w:rPr>
          <w:color w:val="000000" w:themeColor="text1"/>
        </w:rPr>
        <w:t>-Obligation du secret bancaire</w:t>
      </w:r>
    </w:p>
    <w:p w14:paraId="10D81DC2" w14:textId="77777777" w:rsidR="00366F3D" w:rsidRPr="00363419" w:rsidRDefault="00366F3D" w:rsidP="00366F3D">
      <w:pPr>
        <w:rPr>
          <w:color w:val="000000" w:themeColor="text1"/>
        </w:rPr>
      </w:pPr>
    </w:p>
    <w:p w14:paraId="4DFA4D61" w14:textId="77777777" w:rsidR="00366F3D" w:rsidRPr="00363419" w:rsidRDefault="00366F3D" w:rsidP="00366F3D">
      <w:pPr>
        <w:rPr>
          <w:color w:val="000000" w:themeColor="text1"/>
        </w:rPr>
      </w:pPr>
      <w:r w:rsidRPr="00363419">
        <w:rPr>
          <w:color w:val="000000" w:themeColor="text1"/>
        </w:rPr>
        <w:t>Cass. com., 15 mai 2019, n° 18-10.491</w:t>
      </w:r>
    </w:p>
    <w:p w14:paraId="16775B08" w14:textId="77777777" w:rsidR="00F9685A" w:rsidRPr="00363419" w:rsidRDefault="00F9685A" w:rsidP="00F9685A">
      <w:pPr>
        <w:rPr>
          <w:color w:val="000000" w:themeColor="text1"/>
        </w:rPr>
      </w:pPr>
    </w:p>
    <w:p w14:paraId="7BEBFEBF" w14:textId="77777777" w:rsidR="00124B22" w:rsidRPr="00363419" w:rsidRDefault="00124B22" w:rsidP="00F9685A">
      <w:pPr>
        <w:rPr>
          <w:color w:val="000000" w:themeColor="text1"/>
        </w:rPr>
      </w:pPr>
    </w:p>
    <w:p w14:paraId="2798D21C" w14:textId="77777777" w:rsidR="00F9685A" w:rsidRPr="00363419" w:rsidRDefault="00F9685A" w:rsidP="00F9685A">
      <w:pPr>
        <w:rPr>
          <w:color w:val="000000" w:themeColor="text1"/>
        </w:rPr>
      </w:pPr>
      <w:r w:rsidRPr="00363419">
        <w:rPr>
          <w:color w:val="000000" w:themeColor="text1"/>
        </w:rPr>
        <w:t>-Lutte contre le blanchiment d’argent et le financement du terrorisme</w:t>
      </w:r>
    </w:p>
    <w:p w14:paraId="2CC1453A" w14:textId="77777777" w:rsidR="00F9685A" w:rsidRPr="00363419" w:rsidRDefault="00F9685A" w:rsidP="00F9685A">
      <w:pPr>
        <w:rPr>
          <w:color w:val="000000" w:themeColor="text1"/>
        </w:rPr>
      </w:pPr>
    </w:p>
    <w:p w14:paraId="0D899FBC" w14:textId="77777777" w:rsidR="00F9685A" w:rsidRPr="00363419" w:rsidRDefault="00F9685A" w:rsidP="00F9685A">
      <w:pPr>
        <w:rPr>
          <w:color w:val="000000" w:themeColor="text1"/>
        </w:rPr>
      </w:pPr>
      <w:r w:rsidRPr="00363419">
        <w:rPr>
          <w:color w:val="000000" w:themeColor="text1"/>
        </w:rPr>
        <w:t xml:space="preserve">Cass. </w:t>
      </w:r>
      <w:proofErr w:type="spellStart"/>
      <w:proofErr w:type="gramStart"/>
      <w:r w:rsidRPr="00363419">
        <w:rPr>
          <w:color w:val="000000" w:themeColor="text1"/>
        </w:rPr>
        <w:t>c</w:t>
      </w:r>
      <w:r w:rsidR="008D3BF9" w:rsidRPr="00363419">
        <w:rPr>
          <w:color w:val="000000" w:themeColor="text1"/>
        </w:rPr>
        <w:t>rim</w:t>
      </w:r>
      <w:proofErr w:type="spellEnd"/>
      <w:proofErr w:type="gramEnd"/>
      <w:r w:rsidR="008D3BF9" w:rsidRPr="00363419">
        <w:rPr>
          <w:color w:val="000000" w:themeColor="text1"/>
        </w:rPr>
        <w:t>., 19 juin 2024, n° 22-81.808</w:t>
      </w:r>
    </w:p>
    <w:p w14:paraId="73C1A4B8" w14:textId="77777777" w:rsidR="00CF5CDA" w:rsidRPr="00363419" w:rsidRDefault="00CF5CDA" w:rsidP="00CF5CDA">
      <w:pPr>
        <w:pStyle w:val="Retraitcorpsdetexte"/>
        <w:ind w:firstLine="0"/>
        <w:jc w:val="both"/>
        <w:rPr>
          <w:color w:val="000000" w:themeColor="text1"/>
          <w:highlight w:val="yellow"/>
        </w:rPr>
      </w:pPr>
    </w:p>
    <w:p w14:paraId="66D9143D" w14:textId="77777777" w:rsidR="00CF5CDA" w:rsidRPr="00363419" w:rsidRDefault="00CF5CDA" w:rsidP="00D15AB8">
      <w:pPr>
        <w:rPr>
          <w:color w:val="000000" w:themeColor="text1"/>
          <w:highlight w:val="yellow"/>
        </w:rPr>
      </w:pPr>
    </w:p>
    <w:p w14:paraId="30EA497E" w14:textId="77777777" w:rsidR="00610E71" w:rsidRPr="00363419" w:rsidRDefault="00610E71" w:rsidP="00D15AB8">
      <w:pPr>
        <w:rPr>
          <w:color w:val="000000" w:themeColor="text1"/>
          <w:highlight w:val="yellow"/>
        </w:rPr>
      </w:pPr>
    </w:p>
    <w:p w14:paraId="27123EBE" w14:textId="77777777" w:rsidR="00610E71" w:rsidRPr="00363419" w:rsidRDefault="00610E71" w:rsidP="00D15AB8">
      <w:pPr>
        <w:rPr>
          <w:color w:val="000000" w:themeColor="text1"/>
          <w:highlight w:val="yellow"/>
        </w:rPr>
      </w:pPr>
    </w:p>
    <w:p w14:paraId="01FDBBF2" w14:textId="77777777" w:rsidR="00610E71" w:rsidRPr="00363419" w:rsidRDefault="00610E71" w:rsidP="00D15AB8">
      <w:pPr>
        <w:rPr>
          <w:color w:val="000000" w:themeColor="text1"/>
          <w:highlight w:val="yellow"/>
        </w:rPr>
      </w:pPr>
    </w:p>
    <w:p w14:paraId="7E1FD9E0" w14:textId="77777777" w:rsidR="00610E71" w:rsidRPr="00363419" w:rsidRDefault="00610E71" w:rsidP="00D15AB8">
      <w:pPr>
        <w:rPr>
          <w:color w:val="000000" w:themeColor="text1"/>
          <w:highlight w:val="yellow"/>
        </w:rPr>
      </w:pPr>
    </w:p>
    <w:p w14:paraId="26F6519A" w14:textId="77777777" w:rsidR="006453BF" w:rsidRPr="00363419" w:rsidRDefault="006453BF" w:rsidP="00BD5295">
      <w:pPr>
        <w:jc w:val="both"/>
        <w:rPr>
          <w:color w:val="000000" w:themeColor="text1"/>
        </w:rPr>
      </w:pPr>
      <w:r w:rsidRPr="00363419">
        <w:rPr>
          <w:b/>
          <w:color w:val="000000" w:themeColor="text1"/>
          <w:u w:val="single"/>
        </w:rPr>
        <w:lastRenderedPageBreak/>
        <w:t>Arrêt à commenter</w:t>
      </w:r>
    </w:p>
    <w:p w14:paraId="52A548A7" w14:textId="77777777" w:rsidR="00BD5295" w:rsidRPr="00363419" w:rsidRDefault="00BD5295" w:rsidP="00BD5295">
      <w:pPr>
        <w:jc w:val="both"/>
        <w:rPr>
          <w:color w:val="000000" w:themeColor="text1"/>
        </w:rPr>
      </w:pPr>
    </w:p>
    <w:p w14:paraId="29E101FD" w14:textId="77777777" w:rsidR="00610E71" w:rsidRPr="00363419" w:rsidRDefault="00610E71" w:rsidP="00610E71">
      <w:pPr>
        <w:rPr>
          <w:b/>
          <w:color w:val="000000" w:themeColor="text1"/>
          <w:u w:val="single"/>
        </w:rPr>
      </w:pPr>
      <w:r w:rsidRPr="00363419">
        <w:rPr>
          <w:color w:val="000000" w:themeColor="text1"/>
        </w:rPr>
        <w:t>Cass. com., 19 novembre 2025, n° 24-18.534</w:t>
      </w:r>
    </w:p>
    <w:p w14:paraId="38162027" w14:textId="77777777" w:rsidR="00610E71" w:rsidRPr="00363419" w:rsidRDefault="00610E71" w:rsidP="00610E71">
      <w:pPr>
        <w:jc w:val="both"/>
        <w:rPr>
          <w:color w:val="000000" w:themeColor="text1"/>
          <w:shd w:val="clear" w:color="auto" w:fill="FFFFFF"/>
        </w:rPr>
      </w:pPr>
    </w:p>
    <w:p w14:paraId="43DC3875" w14:textId="77777777" w:rsidR="00610E71" w:rsidRPr="00363419" w:rsidRDefault="00610E71" w:rsidP="00610E71">
      <w:pPr>
        <w:jc w:val="both"/>
        <w:rPr>
          <w:color w:val="000000" w:themeColor="text1"/>
        </w:rPr>
      </w:pPr>
      <w:r w:rsidRPr="00363419">
        <w:rPr>
          <w:color w:val="000000" w:themeColor="text1"/>
          <w:shd w:val="clear" w:color="auto" w:fill="FFFFFF"/>
        </w:rPr>
        <w:t>1. Selon l'arrêt attaqué (Pau, 6 juin 2024), entre le 9 octobre 2020 et le 31 décembre 2020, la société Fraso (la société), souhaitant procéder à des investissements sur les conseils de prétendus conseillers en gestion de patrimoine, a adressé, par l'intermédiaire de son dirigeant, M. [W], à la société BNP Paribas (la banque) neuf ordres de virement à destination de comptes ouverts dans les livres de banques en Pologne, Pays-Bas et Portugal.</w:t>
      </w:r>
    </w:p>
    <w:p w14:paraId="726EB47F" w14:textId="77777777" w:rsidR="00610E71" w:rsidRPr="00363419" w:rsidRDefault="00610E71" w:rsidP="00610E71">
      <w:pPr>
        <w:jc w:val="both"/>
        <w:rPr>
          <w:color w:val="000000" w:themeColor="text1"/>
          <w:shd w:val="clear" w:color="auto" w:fill="FFFFFF"/>
        </w:rPr>
      </w:pPr>
    </w:p>
    <w:p w14:paraId="1C0F5DBB" w14:textId="77777777" w:rsidR="00610E71" w:rsidRPr="00363419" w:rsidRDefault="00610E71" w:rsidP="00610E71">
      <w:pPr>
        <w:jc w:val="both"/>
        <w:rPr>
          <w:color w:val="000000" w:themeColor="text1"/>
        </w:rPr>
      </w:pPr>
      <w:r w:rsidRPr="00363419">
        <w:rPr>
          <w:color w:val="000000" w:themeColor="text1"/>
          <w:shd w:val="clear" w:color="auto" w:fill="FFFFFF"/>
        </w:rPr>
        <w:t>2. Soutenant avoir été victimes d'une fraude, la société Fraso et M. [W] ont assigné la banque en responsabilité pour manquement à son obligation de vigilance et de mise en garde et en paiement de dommages et intérêts.</w:t>
      </w:r>
      <w:r w:rsidRPr="00363419">
        <w:rPr>
          <w:rStyle w:val="apple-converted-space"/>
          <w:color w:val="000000" w:themeColor="text1"/>
          <w:shd w:val="clear" w:color="auto" w:fill="FFFFFF"/>
        </w:rPr>
        <w:t> </w:t>
      </w:r>
    </w:p>
    <w:p w14:paraId="148B9080" w14:textId="77777777" w:rsidR="00610E71" w:rsidRPr="00363419" w:rsidRDefault="00610E71" w:rsidP="00610E71">
      <w:pPr>
        <w:jc w:val="both"/>
        <w:rPr>
          <w:color w:val="000000" w:themeColor="text1"/>
          <w:shd w:val="clear" w:color="auto" w:fill="FFFFFF"/>
        </w:rPr>
      </w:pPr>
    </w:p>
    <w:p w14:paraId="49332F81" w14:textId="77777777" w:rsidR="00610E71" w:rsidRPr="00363419" w:rsidRDefault="00610E71" w:rsidP="00610E71">
      <w:pPr>
        <w:jc w:val="both"/>
        <w:rPr>
          <w:color w:val="000000" w:themeColor="text1"/>
        </w:rPr>
      </w:pPr>
      <w:r w:rsidRPr="00363419">
        <w:rPr>
          <w:color w:val="000000" w:themeColor="text1"/>
          <w:shd w:val="clear" w:color="auto" w:fill="FFFFFF"/>
        </w:rPr>
        <w:t>Examen du moyen</w:t>
      </w:r>
    </w:p>
    <w:p w14:paraId="4BB239C2" w14:textId="77777777" w:rsidR="00610E71" w:rsidRPr="00363419" w:rsidRDefault="00610E71" w:rsidP="00610E71">
      <w:pPr>
        <w:jc w:val="both"/>
        <w:rPr>
          <w:color w:val="000000" w:themeColor="text1"/>
          <w:shd w:val="clear" w:color="auto" w:fill="FFFFFF"/>
        </w:rPr>
      </w:pPr>
    </w:p>
    <w:p w14:paraId="0F5EB5C6" w14:textId="77777777" w:rsidR="00610E71" w:rsidRPr="00363419" w:rsidRDefault="00610E71" w:rsidP="00610E71">
      <w:pPr>
        <w:jc w:val="both"/>
        <w:rPr>
          <w:color w:val="000000" w:themeColor="text1"/>
        </w:rPr>
      </w:pPr>
      <w:r w:rsidRPr="00363419">
        <w:rPr>
          <w:color w:val="000000" w:themeColor="text1"/>
          <w:shd w:val="clear" w:color="auto" w:fill="FFFFFF"/>
        </w:rPr>
        <w:t>Sur le moyen, pris en sa première branche</w:t>
      </w:r>
    </w:p>
    <w:p w14:paraId="3F702ECB" w14:textId="77777777" w:rsidR="00610E71" w:rsidRPr="00363419" w:rsidRDefault="00610E71" w:rsidP="00610E71">
      <w:pPr>
        <w:jc w:val="both"/>
        <w:rPr>
          <w:color w:val="000000" w:themeColor="text1"/>
          <w:shd w:val="clear" w:color="auto" w:fill="FFFFFF"/>
        </w:rPr>
      </w:pPr>
    </w:p>
    <w:p w14:paraId="54A5028A" w14:textId="534B3B91" w:rsidR="00610E71" w:rsidRPr="00363419" w:rsidRDefault="000463CF" w:rsidP="00610E71">
      <w:pPr>
        <w:jc w:val="both"/>
        <w:rPr>
          <w:color w:val="000000" w:themeColor="text1"/>
        </w:rPr>
      </w:pPr>
      <w:r w:rsidRPr="00363419">
        <w:rPr>
          <w:color w:val="000000" w:themeColor="text1"/>
          <w:shd w:val="clear" w:color="auto" w:fill="FFFFFF"/>
        </w:rPr>
        <w:t>(..</w:t>
      </w:r>
      <w:r w:rsidR="00610E71" w:rsidRPr="00363419">
        <w:rPr>
          <w:color w:val="000000" w:themeColor="text1"/>
          <w:shd w:val="clear" w:color="auto" w:fill="FFFFFF"/>
        </w:rPr>
        <w:t>.</w:t>
      </w:r>
      <w:r w:rsidRPr="00363419">
        <w:rPr>
          <w:color w:val="000000" w:themeColor="text1"/>
          <w:shd w:val="clear" w:color="auto" w:fill="FFFFFF"/>
        </w:rPr>
        <w:t>)</w:t>
      </w:r>
    </w:p>
    <w:p w14:paraId="595F47F7" w14:textId="77777777" w:rsidR="00610E71" w:rsidRPr="00363419" w:rsidRDefault="00610E71" w:rsidP="00610E71">
      <w:pPr>
        <w:jc w:val="both"/>
        <w:rPr>
          <w:color w:val="000000" w:themeColor="text1"/>
          <w:shd w:val="clear" w:color="auto" w:fill="FFFFFF"/>
        </w:rPr>
      </w:pPr>
    </w:p>
    <w:p w14:paraId="3758B4C9" w14:textId="77777777" w:rsidR="00610E71" w:rsidRPr="00363419" w:rsidRDefault="00610E71" w:rsidP="00610E71">
      <w:pPr>
        <w:jc w:val="both"/>
        <w:rPr>
          <w:color w:val="000000" w:themeColor="text1"/>
        </w:rPr>
      </w:pPr>
      <w:r w:rsidRPr="00363419">
        <w:rPr>
          <w:color w:val="000000" w:themeColor="text1"/>
          <w:shd w:val="clear" w:color="auto" w:fill="FFFFFF"/>
        </w:rPr>
        <w:t>Mais sur le moyen, pris en sa seconde branche</w:t>
      </w:r>
      <w:r w:rsidRPr="00363419">
        <w:rPr>
          <w:rStyle w:val="apple-converted-space"/>
          <w:color w:val="000000" w:themeColor="text1"/>
          <w:shd w:val="clear" w:color="auto" w:fill="FFFFFF"/>
        </w:rPr>
        <w:t> </w:t>
      </w:r>
    </w:p>
    <w:p w14:paraId="611C45A1" w14:textId="77777777" w:rsidR="00610E71" w:rsidRPr="00363419" w:rsidRDefault="00610E71" w:rsidP="00610E71">
      <w:pPr>
        <w:jc w:val="both"/>
        <w:rPr>
          <w:color w:val="000000" w:themeColor="text1"/>
          <w:shd w:val="clear" w:color="auto" w:fill="FFFFFF"/>
        </w:rPr>
      </w:pPr>
    </w:p>
    <w:p w14:paraId="14A81DB0" w14:textId="77777777" w:rsidR="00610E71" w:rsidRPr="00363419" w:rsidRDefault="00610E71" w:rsidP="00610E71">
      <w:pPr>
        <w:jc w:val="both"/>
        <w:rPr>
          <w:color w:val="000000" w:themeColor="text1"/>
        </w:rPr>
      </w:pPr>
      <w:proofErr w:type="spellStart"/>
      <w:r w:rsidRPr="00363419">
        <w:rPr>
          <w:color w:val="000000" w:themeColor="text1"/>
          <w:shd w:val="clear" w:color="auto" w:fill="FFFFFF"/>
        </w:rPr>
        <w:t>Enoncé</w:t>
      </w:r>
      <w:proofErr w:type="spellEnd"/>
      <w:r w:rsidRPr="00363419">
        <w:rPr>
          <w:color w:val="000000" w:themeColor="text1"/>
          <w:shd w:val="clear" w:color="auto" w:fill="FFFFFF"/>
        </w:rPr>
        <w:t xml:space="preserve"> du moyen</w:t>
      </w:r>
    </w:p>
    <w:p w14:paraId="1087A781" w14:textId="77777777" w:rsidR="00610E71" w:rsidRPr="00363419" w:rsidRDefault="00610E71" w:rsidP="00610E71">
      <w:pPr>
        <w:jc w:val="both"/>
        <w:rPr>
          <w:color w:val="000000" w:themeColor="text1"/>
          <w:shd w:val="clear" w:color="auto" w:fill="FFFFFF"/>
        </w:rPr>
      </w:pPr>
    </w:p>
    <w:p w14:paraId="3F31CD0A" w14:textId="77777777" w:rsidR="00610E71" w:rsidRPr="00363419" w:rsidRDefault="00610E71" w:rsidP="00610E71">
      <w:pPr>
        <w:jc w:val="both"/>
        <w:rPr>
          <w:color w:val="000000" w:themeColor="text1"/>
        </w:rPr>
      </w:pPr>
      <w:r w:rsidRPr="00363419">
        <w:rPr>
          <w:color w:val="000000" w:themeColor="text1"/>
          <w:shd w:val="clear" w:color="auto" w:fill="FFFFFF"/>
        </w:rPr>
        <w:t>7. La banque fait le même grief à l'arrêt, alors « que le devoir de non-immixtion du banquier dans les affaires de son client ne cède, en vertu de son obligation de vigilance, qu'en cas d'anomalie apparente ; qu'en décidant que la société BNP Paribas aurait engagé sa responsabilité au titre de son devoir de surveillance et de vigilance, au seul motif que les virements litigieux " présentaient un caractère inhabituellement exceptionnel au regard des pratiques commerciales et bancaires de la société Fraso " par des motifs impropres à caractériser une anomalie apparente des ordres de virements, la cour d'appel a privé sa décision de base légale au regard de l'article 1147 devenu 1231-1 du code civil. »</w:t>
      </w:r>
    </w:p>
    <w:p w14:paraId="7493D5EA" w14:textId="77777777" w:rsidR="00610E71" w:rsidRPr="00363419" w:rsidRDefault="00610E71" w:rsidP="00610E71">
      <w:pPr>
        <w:jc w:val="both"/>
        <w:rPr>
          <w:color w:val="000000" w:themeColor="text1"/>
          <w:shd w:val="clear" w:color="auto" w:fill="FFFFFF"/>
        </w:rPr>
      </w:pPr>
    </w:p>
    <w:p w14:paraId="668277AE" w14:textId="77777777" w:rsidR="00610E71" w:rsidRPr="00363419" w:rsidRDefault="00610E71" w:rsidP="00610E71">
      <w:pPr>
        <w:jc w:val="both"/>
        <w:rPr>
          <w:color w:val="000000" w:themeColor="text1"/>
        </w:rPr>
      </w:pPr>
      <w:r w:rsidRPr="00363419">
        <w:rPr>
          <w:color w:val="000000" w:themeColor="text1"/>
          <w:shd w:val="clear" w:color="auto" w:fill="FFFFFF"/>
        </w:rPr>
        <w:t>Réponse de la Cour</w:t>
      </w:r>
      <w:r w:rsidRPr="00363419">
        <w:rPr>
          <w:rStyle w:val="apple-converted-space"/>
          <w:color w:val="000000" w:themeColor="text1"/>
          <w:shd w:val="clear" w:color="auto" w:fill="FFFFFF"/>
        </w:rPr>
        <w:t> </w:t>
      </w:r>
    </w:p>
    <w:p w14:paraId="363629D9" w14:textId="77777777" w:rsidR="00610E71" w:rsidRPr="00363419" w:rsidRDefault="00610E71" w:rsidP="00610E71">
      <w:pPr>
        <w:jc w:val="both"/>
        <w:rPr>
          <w:color w:val="000000" w:themeColor="text1"/>
          <w:shd w:val="clear" w:color="auto" w:fill="FFFFFF"/>
        </w:rPr>
      </w:pPr>
    </w:p>
    <w:p w14:paraId="56F0494A" w14:textId="77777777" w:rsidR="00610E71" w:rsidRPr="00363419" w:rsidRDefault="00610E71" w:rsidP="00610E71">
      <w:pPr>
        <w:jc w:val="both"/>
        <w:rPr>
          <w:color w:val="000000" w:themeColor="text1"/>
          <w:shd w:val="clear" w:color="auto" w:fill="FFFFFF"/>
        </w:rPr>
      </w:pPr>
      <w:r w:rsidRPr="00363419">
        <w:rPr>
          <w:color w:val="000000" w:themeColor="text1"/>
          <w:shd w:val="clear" w:color="auto" w:fill="FFFFFF"/>
        </w:rPr>
        <w:t>Vu l'article 1231-1 du code civil :</w:t>
      </w:r>
    </w:p>
    <w:p w14:paraId="5B388575" w14:textId="77777777" w:rsidR="00610E71" w:rsidRPr="00363419" w:rsidRDefault="00610E71" w:rsidP="00610E71">
      <w:pPr>
        <w:jc w:val="both"/>
        <w:rPr>
          <w:color w:val="000000" w:themeColor="text1"/>
          <w:shd w:val="clear" w:color="auto" w:fill="FFFFFF"/>
        </w:rPr>
      </w:pPr>
    </w:p>
    <w:p w14:paraId="2264B0B9" w14:textId="77777777" w:rsidR="00610E71" w:rsidRPr="00363419" w:rsidRDefault="00610E71" w:rsidP="00610E71">
      <w:pPr>
        <w:jc w:val="both"/>
        <w:rPr>
          <w:color w:val="000000" w:themeColor="text1"/>
        </w:rPr>
      </w:pPr>
      <w:r w:rsidRPr="00363419">
        <w:rPr>
          <w:color w:val="000000" w:themeColor="text1"/>
          <w:shd w:val="clear" w:color="auto" w:fill="FFFFFF"/>
        </w:rPr>
        <w:t>8. Le banquier, tenu à l'obligation de ne pas s'immiscer dans les affaires de son client, ne doit l'alerter qu'en présence d'anomalies apparentes aisément décelables par un professionnel normalement diligent.</w:t>
      </w:r>
      <w:r w:rsidRPr="00363419">
        <w:rPr>
          <w:rStyle w:val="apple-converted-space"/>
          <w:color w:val="000000" w:themeColor="text1"/>
          <w:shd w:val="clear" w:color="auto" w:fill="FFFFFF"/>
        </w:rPr>
        <w:t> </w:t>
      </w:r>
    </w:p>
    <w:p w14:paraId="0BDC6D2C" w14:textId="77777777" w:rsidR="00610E71" w:rsidRPr="00363419" w:rsidRDefault="00610E71" w:rsidP="00610E71">
      <w:pPr>
        <w:jc w:val="both"/>
        <w:rPr>
          <w:color w:val="000000" w:themeColor="text1"/>
          <w:shd w:val="clear" w:color="auto" w:fill="FFFFFF"/>
        </w:rPr>
      </w:pPr>
    </w:p>
    <w:p w14:paraId="2254DACC" w14:textId="77777777" w:rsidR="00610E71" w:rsidRPr="00363419" w:rsidRDefault="00610E71" w:rsidP="00610E71">
      <w:pPr>
        <w:jc w:val="both"/>
        <w:rPr>
          <w:color w:val="000000" w:themeColor="text1"/>
        </w:rPr>
      </w:pPr>
      <w:r w:rsidRPr="00363419">
        <w:rPr>
          <w:color w:val="000000" w:themeColor="text1"/>
          <w:shd w:val="clear" w:color="auto" w:fill="FFFFFF"/>
        </w:rPr>
        <w:t>9. Pour retenir que la banque avait manqué à son devoir de vigilance et de surveillance, l'arrêt relève que les neuf ordres de paiement litigieux, et singulièrement ceux destinés à des banques polonaises, présentaient un caractère inhabituellement exceptionnel au regard des pratiques commerciales et bancaires de la société que ne pouvait expliquer l'encaissement d'une somme provenant de la vente d'un actif immobilier, ajoute que la société n'avait aucune activité commerciale ou intérêt connu en Pologne ou à l'international, à l'exception d'un restaurant sénégalais, et en déduit que ces circonstances conféraient aux ordres de virement un caractère manifestement inhabituel et doublé d'une anomalie intellectuelle de la part, au surplus, d'un dirigeant âgé de soixante dix huit ans.</w:t>
      </w:r>
    </w:p>
    <w:p w14:paraId="2C5A8539" w14:textId="77777777" w:rsidR="00610E71" w:rsidRPr="00363419" w:rsidRDefault="00610E71" w:rsidP="00610E71">
      <w:pPr>
        <w:jc w:val="both"/>
        <w:rPr>
          <w:color w:val="000000" w:themeColor="text1"/>
          <w:shd w:val="clear" w:color="auto" w:fill="FFFFFF"/>
        </w:rPr>
      </w:pPr>
    </w:p>
    <w:p w14:paraId="27B5AFA1" w14:textId="77777777" w:rsidR="00610E71" w:rsidRPr="00363419" w:rsidRDefault="00610E71" w:rsidP="00610E71">
      <w:pPr>
        <w:jc w:val="both"/>
        <w:rPr>
          <w:color w:val="000000" w:themeColor="text1"/>
        </w:rPr>
      </w:pPr>
      <w:r w:rsidRPr="00363419">
        <w:rPr>
          <w:color w:val="000000" w:themeColor="text1"/>
          <w:shd w:val="clear" w:color="auto" w:fill="FFFFFF"/>
        </w:rPr>
        <w:t>10. En se déterminant ainsi, par des motifs impropres à caractériser l'existence d'anomalies apparentes, dès lors qu'elle avait constaté que la société disposait sur son compte bancaire d'une somme très supérieure au montant des virements et possédait d'importants actifs immobiliers et qu'il n'était pas contesté que les banques destinataires des fonds étaient reconnues et implantées dans des Etats de l'Union européenne, la cour d'appel n'a pas donné de base légale à sa décision.</w:t>
      </w:r>
      <w:r w:rsidRPr="00363419">
        <w:rPr>
          <w:rStyle w:val="apple-converted-space"/>
          <w:color w:val="000000" w:themeColor="text1"/>
          <w:shd w:val="clear" w:color="auto" w:fill="FFFFFF"/>
        </w:rPr>
        <w:t> </w:t>
      </w:r>
    </w:p>
    <w:p w14:paraId="001F77C1" w14:textId="77777777" w:rsidR="00610E71" w:rsidRPr="00363419" w:rsidRDefault="00610E71" w:rsidP="00610E71">
      <w:pPr>
        <w:jc w:val="both"/>
        <w:rPr>
          <w:color w:val="000000" w:themeColor="text1"/>
          <w:shd w:val="clear" w:color="auto" w:fill="FFFFFF"/>
        </w:rPr>
      </w:pPr>
    </w:p>
    <w:p w14:paraId="5241C66F" w14:textId="77777777" w:rsidR="00610E71" w:rsidRPr="00363419" w:rsidRDefault="00610E71" w:rsidP="00610E71">
      <w:pPr>
        <w:jc w:val="both"/>
        <w:rPr>
          <w:color w:val="000000" w:themeColor="text1"/>
        </w:rPr>
      </w:pPr>
      <w:r w:rsidRPr="00363419">
        <w:rPr>
          <w:color w:val="000000" w:themeColor="text1"/>
          <w:shd w:val="clear" w:color="auto" w:fill="FFFFFF"/>
        </w:rPr>
        <w:t>PAR CES MOTIFS, la Cour :</w:t>
      </w:r>
    </w:p>
    <w:p w14:paraId="40666751" w14:textId="77777777" w:rsidR="00610E71" w:rsidRPr="00363419" w:rsidRDefault="00610E71" w:rsidP="00610E71">
      <w:pPr>
        <w:jc w:val="both"/>
        <w:rPr>
          <w:color w:val="000000" w:themeColor="text1"/>
          <w:shd w:val="clear" w:color="auto" w:fill="FFFFFF"/>
        </w:rPr>
      </w:pPr>
    </w:p>
    <w:p w14:paraId="3396723B" w14:textId="77777777" w:rsidR="00610E71" w:rsidRPr="00363419" w:rsidRDefault="00610E71" w:rsidP="00610E71">
      <w:pPr>
        <w:jc w:val="both"/>
        <w:rPr>
          <w:color w:val="000000" w:themeColor="text1"/>
        </w:rPr>
      </w:pPr>
      <w:r w:rsidRPr="00363419">
        <w:rPr>
          <w:color w:val="000000" w:themeColor="text1"/>
          <w:shd w:val="clear" w:color="auto" w:fill="FFFFFF"/>
        </w:rPr>
        <w:t>CASSE ET ANNULE, en toutes ses dispositions, l'arrêt rendu le 6 juin 2024, entre les parties, par la cour d'appel de Pau ;</w:t>
      </w:r>
    </w:p>
    <w:p w14:paraId="2DA9192D" w14:textId="77777777" w:rsidR="00610E71" w:rsidRPr="00363419" w:rsidRDefault="00610E71" w:rsidP="00610E71">
      <w:pPr>
        <w:jc w:val="both"/>
        <w:rPr>
          <w:color w:val="000000" w:themeColor="text1"/>
          <w:shd w:val="clear" w:color="auto" w:fill="FFFFFF"/>
        </w:rPr>
      </w:pPr>
    </w:p>
    <w:p w14:paraId="4B37A1B9" w14:textId="77777777" w:rsidR="00610E71" w:rsidRPr="00363419" w:rsidRDefault="00610E71" w:rsidP="00610E71">
      <w:pPr>
        <w:jc w:val="both"/>
        <w:rPr>
          <w:color w:val="000000" w:themeColor="text1"/>
          <w:shd w:val="clear" w:color="auto" w:fill="FFFFFF"/>
        </w:rPr>
      </w:pPr>
      <w:r w:rsidRPr="00363419">
        <w:rPr>
          <w:color w:val="000000" w:themeColor="text1"/>
          <w:shd w:val="clear" w:color="auto" w:fill="FFFFFF"/>
        </w:rPr>
        <w:t>Remet l'affaire et les parties dans l'état où elles se trouvaient avant cet arrêt et les renvoie devant la cour d'appel de Bordeaux ;</w:t>
      </w:r>
      <w:r w:rsidRPr="00363419">
        <w:rPr>
          <w:rStyle w:val="apple-converted-space"/>
          <w:color w:val="000000" w:themeColor="text1"/>
          <w:shd w:val="clear" w:color="auto" w:fill="FFFFFF"/>
        </w:rPr>
        <w:t> </w:t>
      </w:r>
    </w:p>
    <w:p w14:paraId="30440FE6" w14:textId="77777777" w:rsidR="00610E71" w:rsidRPr="00363419" w:rsidRDefault="00610E71" w:rsidP="00BD5295">
      <w:pPr>
        <w:rPr>
          <w:b/>
          <w:color w:val="000000" w:themeColor="text1"/>
          <w:u w:val="single"/>
        </w:rPr>
      </w:pPr>
    </w:p>
    <w:p w14:paraId="3E22AE4A" w14:textId="77777777" w:rsidR="00610E71" w:rsidRPr="00363419" w:rsidRDefault="00610E71" w:rsidP="00BD5295">
      <w:pPr>
        <w:rPr>
          <w:b/>
          <w:color w:val="000000" w:themeColor="text1"/>
          <w:u w:val="single"/>
        </w:rPr>
      </w:pPr>
    </w:p>
    <w:p w14:paraId="53852E83" w14:textId="77777777" w:rsidR="00610E71" w:rsidRPr="00363419" w:rsidRDefault="00610E71" w:rsidP="00BD5295">
      <w:pPr>
        <w:rPr>
          <w:b/>
          <w:color w:val="000000" w:themeColor="text1"/>
          <w:u w:val="single"/>
        </w:rPr>
      </w:pPr>
    </w:p>
    <w:p w14:paraId="37564B6E" w14:textId="77777777" w:rsidR="00BD5295" w:rsidRPr="00363419" w:rsidRDefault="00BD5295" w:rsidP="00BD5295">
      <w:pPr>
        <w:rPr>
          <w:b/>
          <w:color w:val="000000" w:themeColor="text1"/>
          <w:u w:val="single"/>
        </w:rPr>
      </w:pPr>
      <w:r w:rsidRPr="00363419">
        <w:rPr>
          <w:b/>
          <w:color w:val="000000" w:themeColor="text1"/>
          <w:u w:val="single"/>
        </w:rPr>
        <w:t>Fiches d’arrêts à préparer (penser à dégager une problématique)</w:t>
      </w:r>
    </w:p>
    <w:p w14:paraId="04988DC3" w14:textId="77777777" w:rsidR="00BD5295" w:rsidRPr="00363419" w:rsidRDefault="00BD5295" w:rsidP="006453BF">
      <w:pPr>
        <w:rPr>
          <w:color w:val="000000" w:themeColor="text1"/>
        </w:rPr>
      </w:pPr>
    </w:p>
    <w:p w14:paraId="6B831A4C" w14:textId="77777777" w:rsidR="00BD5295" w:rsidRPr="00363419" w:rsidRDefault="00BD5295" w:rsidP="006453BF">
      <w:pPr>
        <w:rPr>
          <w:b/>
          <w:color w:val="000000" w:themeColor="text1"/>
        </w:rPr>
      </w:pPr>
      <w:r w:rsidRPr="00363419">
        <w:rPr>
          <w:b/>
          <w:color w:val="000000" w:themeColor="text1"/>
        </w:rPr>
        <w:t>-Devoir de non-ingérence</w:t>
      </w:r>
    </w:p>
    <w:p w14:paraId="1F94D91C" w14:textId="77777777" w:rsidR="00BD5295" w:rsidRPr="00363419" w:rsidRDefault="00BD5295" w:rsidP="006453BF">
      <w:pPr>
        <w:rPr>
          <w:color w:val="000000" w:themeColor="text1"/>
        </w:rPr>
      </w:pPr>
    </w:p>
    <w:p w14:paraId="2C59D89F" w14:textId="77777777" w:rsidR="00610E71" w:rsidRPr="00363419" w:rsidRDefault="00610E71" w:rsidP="00610E71">
      <w:pPr>
        <w:rPr>
          <w:b/>
          <w:color w:val="000000" w:themeColor="text1"/>
        </w:rPr>
      </w:pPr>
      <w:r w:rsidRPr="00363419">
        <w:rPr>
          <w:b/>
          <w:color w:val="000000" w:themeColor="text1"/>
        </w:rPr>
        <w:t>Cass. com. 19 novembre 2025, n° 24-19.776</w:t>
      </w:r>
    </w:p>
    <w:p w14:paraId="0DD81040" w14:textId="77777777" w:rsidR="00610E71" w:rsidRPr="00363419" w:rsidRDefault="00610E71" w:rsidP="00610E71">
      <w:pPr>
        <w:rPr>
          <w:color w:val="000000" w:themeColor="text1"/>
        </w:rPr>
      </w:pPr>
    </w:p>
    <w:p w14:paraId="34F41B7A" w14:textId="77777777" w:rsidR="00610E71" w:rsidRPr="00363419" w:rsidRDefault="00610E71" w:rsidP="00610E71">
      <w:pPr>
        <w:jc w:val="both"/>
        <w:rPr>
          <w:rStyle w:val="apple-converted-space"/>
          <w:color w:val="000000" w:themeColor="text1"/>
          <w:shd w:val="clear" w:color="auto" w:fill="FFFFFF"/>
        </w:rPr>
      </w:pPr>
      <w:r w:rsidRPr="00363419">
        <w:rPr>
          <w:color w:val="000000" w:themeColor="text1"/>
          <w:shd w:val="clear" w:color="auto" w:fill="FFFFFF"/>
        </w:rPr>
        <w:t>Faits et procédure</w:t>
      </w:r>
    </w:p>
    <w:p w14:paraId="13CEE1F4" w14:textId="77777777" w:rsidR="00610E71" w:rsidRPr="00363419" w:rsidRDefault="00610E71" w:rsidP="00610E71">
      <w:pPr>
        <w:jc w:val="both"/>
        <w:rPr>
          <w:color w:val="000000" w:themeColor="text1"/>
          <w:shd w:val="clear" w:color="auto" w:fill="FFFFFF"/>
        </w:rPr>
      </w:pPr>
    </w:p>
    <w:p w14:paraId="02BEFDD3" w14:textId="77777777" w:rsidR="00610E71" w:rsidRPr="00363419" w:rsidRDefault="00610E71" w:rsidP="00610E71">
      <w:pPr>
        <w:jc w:val="both"/>
        <w:rPr>
          <w:color w:val="000000" w:themeColor="text1"/>
        </w:rPr>
      </w:pPr>
      <w:r w:rsidRPr="00363419">
        <w:rPr>
          <w:color w:val="000000" w:themeColor="text1"/>
          <w:shd w:val="clear" w:color="auto" w:fill="FFFFFF"/>
        </w:rPr>
        <w:t>1. Selon l'arrêt attaqué (Bordeaux, 5 juillet 2024), entre les 5 et 25 mai 2021, la secrétaire comptable de la société Groupement d'études électroniques (la société) a transmis à la banque de celle-ci, la société Banque CIC Sud-Ouest (la banque), douze ordres de virement d'un montant total de 892 894,48 euros.</w:t>
      </w:r>
    </w:p>
    <w:p w14:paraId="741C3342" w14:textId="77777777" w:rsidR="00610E71" w:rsidRPr="00363419" w:rsidRDefault="00610E71" w:rsidP="00610E71">
      <w:pPr>
        <w:jc w:val="both"/>
        <w:rPr>
          <w:color w:val="000000" w:themeColor="text1"/>
          <w:shd w:val="clear" w:color="auto" w:fill="FFFFFF"/>
        </w:rPr>
      </w:pPr>
    </w:p>
    <w:p w14:paraId="78E7603D" w14:textId="77777777" w:rsidR="00610E71" w:rsidRPr="00363419" w:rsidRDefault="00610E71" w:rsidP="00610E71">
      <w:pPr>
        <w:jc w:val="both"/>
        <w:rPr>
          <w:rStyle w:val="apple-converted-space"/>
          <w:color w:val="000000" w:themeColor="text1"/>
          <w:shd w:val="clear" w:color="auto" w:fill="FFFFFF"/>
        </w:rPr>
      </w:pPr>
      <w:r w:rsidRPr="00363419">
        <w:rPr>
          <w:color w:val="000000" w:themeColor="text1"/>
          <w:shd w:val="clear" w:color="auto" w:fill="FFFFFF"/>
        </w:rPr>
        <w:t>2. Soutenant que sa salariée avait été trompée par des courriels d'un interlocuteur se faisant passer pour le président de la société, celle-ci a assigné la banque en responsabilité pour manquement à son obligation de vigilance et en paiement de dommages et intérêts.</w:t>
      </w:r>
    </w:p>
    <w:p w14:paraId="5F63FF44" w14:textId="77777777" w:rsidR="00610E71" w:rsidRPr="00363419" w:rsidRDefault="00610E71" w:rsidP="00610E71">
      <w:pPr>
        <w:jc w:val="both"/>
        <w:rPr>
          <w:color w:val="000000" w:themeColor="text1"/>
          <w:shd w:val="clear" w:color="auto" w:fill="FFFFFF"/>
        </w:rPr>
      </w:pPr>
    </w:p>
    <w:p w14:paraId="1A44BE54" w14:textId="77777777" w:rsidR="00610E71" w:rsidRPr="00363419" w:rsidRDefault="00610E71" w:rsidP="00610E71">
      <w:pPr>
        <w:jc w:val="both"/>
        <w:rPr>
          <w:color w:val="000000" w:themeColor="text1"/>
        </w:rPr>
      </w:pPr>
      <w:r w:rsidRPr="00363419">
        <w:rPr>
          <w:color w:val="000000" w:themeColor="text1"/>
          <w:shd w:val="clear" w:color="auto" w:fill="FFFFFF"/>
        </w:rPr>
        <w:t>Examen des moyens</w:t>
      </w:r>
    </w:p>
    <w:p w14:paraId="5A466233" w14:textId="77777777" w:rsidR="00610E71" w:rsidRPr="00363419" w:rsidRDefault="00610E71" w:rsidP="00610E71">
      <w:pPr>
        <w:jc w:val="both"/>
        <w:rPr>
          <w:color w:val="000000" w:themeColor="text1"/>
          <w:shd w:val="clear" w:color="auto" w:fill="FFFFFF"/>
        </w:rPr>
      </w:pPr>
    </w:p>
    <w:p w14:paraId="59321585" w14:textId="77777777" w:rsidR="00610E71" w:rsidRPr="00363419" w:rsidRDefault="00610E71" w:rsidP="00610E71">
      <w:pPr>
        <w:jc w:val="both"/>
        <w:rPr>
          <w:color w:val="000000" w:themeColor="text1"/>
        </w:rPr>
      </w:pPr>
      <w:r w:rsidRPr="00363419">
        <w:rPr>
          <w:color w:val="000000" w:themeColor="text1"/>
          <w:shd w:val="clear" w:color="auto" w:fill="FFFFFF"/>
        </w:rPr>
        <w:t>Sur le premier moyen</w:t>
      </w:r>
    </w:p>
    <w:p w14:paraId="717064BB" w14:textId="77777777" w:rsidR="00610E71" w:rsidRPr="00363419" w:rsidRDefault="00610E71" w:rsidP="00610E71">
      <w:pPr>
        <w:jc w:val="both"/>
        <w:rPr>
          <w:color w:val="000000" w:themeColor="text1"/>
          <w:shd w:val="clear" w:color="auto" w:fill="FFFFFF"/>
        </w:rPr>
      </w:pPr>
    </w:p>
    <w:p w14:paraId="7FD55CD4" w14:textId="77777777" w:rsidR="00610E71" w:rsidRPr="00363419" w:rsidRDefault="00610E71" w:rsidP="00610E71">
      <w:pPr>
        <w:jc w:val="both"/>
        <w:rPr>
          <w:color w:val="000000" w:themeColor="text1"/>
        </w:rPr>
      </w:pPr>
      <w:proofErr w:type="spellStart"/>
      <w:r w:rsidRPr="00363419">
        <w:rPr>
          <w:color w:val="000000" w:themeColor="text1"/>
          <w:shd w:val="clear" w:color="auto" w:fill="FFFFFF"/>
        </w:rPr>
        <w:t>Enoncé</w:t>
      </w:r>
      <w:proofErr w:type="spellEnd"/>
      <w:r w:rsidRPr="00363419">
        <w:rPr>
          <w:color w:val="000000" w:themeColor="text1"/>
          <w:shd w:val="clear" w:color="auto" w:fill="FFFFFF"/>
        </w:rPr>
        <w:t xml:space="preserve"> du moyen</w:t>
      </w:r>
    </w:p>
    <w:p w14:paraId="37573DCF" w14:textId="77777777" w:rsidR="00610E71" w:rsidRPr="00363419" w:rsidRDefault="00610E71" w:rsidP="00610E71">
      <w:pPr>
        <w:jc w:val="both"/>
        <w:rPr>
          <w:color w:val="000000" w:themeColor="text1"/>
          <w:shd w:val="clear" w:color="auto" w:fill="FFFFFF"/>
        </w:rPr>
      </w:pPr>
    </w:p>
    <w:p w14:paraId="28EAED5E" w14:textId="77777777" w:rsidR="00610E71" w:rsidRPr="00363419" w:rsidRDefault="00610E71" w:rsidP="00610E71">
      <w:pPr>
        <w:jc w:val="both"/>
        <w:rPr>
          <w:color w:val="000000" w:themeColor="text1"/>
        </w:rPr>
      </w:pPr>
      <w:r w:rsidRPr="00363419">
        <w:rPr>
          <w:color w:val="000000" w:themeColor="text1"/>
          <w:shd w:val="clear" w:color="auto" w:fill="FFFFFF"/>
        </w:rPr>
        <w:t xml:space="preserve">3. La banque fait grief à l'arrêt de la condamner à payer à la société la somme de 670 010, 25 euros et à M. [X] la somme de 2 000 euros en réparation de son préjudice moral, alors « que le régime de responsabilité du prestataire de services de paiement résultant de la directive 2015/2366 du Parlement européen et du Conseil du 25 novembre 2015 concernant les services de paiement dans le marché intérieur, transposé en droit français au code monétaire et financier, est exclusif de tout régime de responsabilité concurrent fondé sur le droit national ; qu'en vertu de cette directive, la responsabilité du prestataire de service de paiement qui a exécuté une opération de paiement autorisée n'est engagée qu'en cas de mauvaise exécution de celle-ci ; qu'en l'espèce, la cour d'appel a constaté que les opérations de paiement étaient autorisées et leur bonne exécution n'était pas contestée ; qu'en retenant néanmoins la responsabilité de la </w:t>
      </w:r>
      <w:r w:rsidRPr="00363419">
        <w:rPr>
          <w:color w:val="000000" w:themeColor="text1"/>
          <w:shd w:val="clear" w:color="auto" w:fill="FFFFFF"/>
        </w:rPr>
        <w:lastRenderedPageBreak/>
        <w:t>banque sur le fondement du devoir de vigilance de droit commun national, la cour d'appel n'a pas tiré les conséquences légales de ses propres constatations et violé les articles L. 133-6, L. 133-7, L. 133-18, L. 133-19, L. 133-22 et L. 133-24 du code monétaire et financier. »</w:t>
      </w:r>
    </w:p>
    <w:p w14:paraId="57A0E758" w14:textId="77777777" w:rsidR="00610E71" w:rsidRPr="00363419" w:rsidRDefault="00610E71" w:rsidP="00610E71">
      <w:pPr>
        <w:jc w:val="both"/>
        <w:rPr>
          <w:color w:val="000000" w:themeColor="text1"/>
          <w:shd w:val="clear" w:color="auto" w:fill="FFFFFF"/>
        </w:rPr>
      </w:pPr>
    </w:p>
    <w:p w14:paraId="52D7FDA6" w14:textId="77777777" w:rsidR="00610E71" w:rsidRPr="00363419" w:rsidRDefault="00610E71" w:rsidP="00610E71">
      <w:pPr>
        <w:jc w:val="both"/>
        <w:rPr>
          <w:color w:val="000000" w:themeColor="text1"/>
        </w:rPr>
      </w:pPr>
      <w:r w:rsidRPr="00363419">
        <w:rPr>
          <w:color w:val="000000" w:themeColor="text1"/>
          <w:shd w:val="clear" w:color="auto" w:fill="FFFFFF"/>
        </w:rPr>
        <w:t>Réponse de la Cour</w:t>
      </w:r>
    </w:p>
    <w:p w14:paraId="432AAB9C" w14:textId="77777777" w:rsidR="00610E71" w:rsidRPr="00363419" w:rsidRDefault="00610E71" w:rsidP="00610E71">
      <w:pPr>
        <w:jc w:val="both"/>
        <w:rPr>
          <w:color w:val="000000" w:themeColor="text1"/>
          <w:shd w:val="clear" w:color="auto" w:fill="FFFFFF"/>
        </w:rPr>
      </w:pPr>
    </w:p>
    <w:p w14:paraId="57066580" w14:textId="77777777" w:rsidR="00610E71" w:rsidRPr="00363419" w:rsidRDefault="00610E71" w:rsidP="00610E71">
      <w:pPr>
        <w:jc w:val="both"/>
        <w:rPr>
          <w:color w:val="000000" w:themeColor="text1"/>
        </w:rPr>
      </w:pPr>
      <w:r w:rsidRPr="00363419">
        <w:rPr>
          <w:color w:val="000000" w:themeColor="text1"/>
          <w:shd w:val="clear" w:color="auto" w:fill="FFFFFF"/>
        </w:rPr>
        <w:t>4. Il résulte de la combinaison des articles L. 133-6, L. 133-7, L. 133-18, L. 133-19, L. 133-21 et L. 133-22 du code monétaire et financier que le régime de responsabilité du prestataire de services de paiement prévu par ces textes, exclusif du droit commun de la responsabilité contractuelle défini par l'article 1231-1 du code civil, ne s'applique qu'aux opérations de paiement non autorisées ou mal exécutées.</w:t>
      </w:r>
    </w:p>
    <w:p w14:paraId="2B70B392" w14:textId="77777777" w:rsidR="00610E71" w:rsidRPr="00363419" w:rsidRDefault="00610E71" w:rsidP="00610E71">
      <w:pPr>
        <w:jc w:val="both"/>
        <w:rPr>
          <w:color w:val="000000" w:themeColor="text1"/>
          <w:shd w:val="clear" w:color="auto" w:fill="FFFFFF"/>
        </w:rPr>
      </w:pPr>
    </w:p>
    <w:p w14:paraId="1DA5BA3D" w14:textId="77777777" w:rsidR="00610E71" w:rsidRPr="00363419" w:rsidRDefault="00610E71" w:rsidP="00610E71">
      <w:pPr>
        <w:jc w:val="both"/>
        <w:rPr>
          <w:color w:val="000000" w:themeColor="text1"/>
        </w:rPr>
      </w:pPr>
      <w:r w:rsidRPr="00363419">
        <w:rPr>
          <w:color w:val="000000" w:themeColor="text1"/>
          <w:shd w:val="clear" w:color="auto" w:fill="FFFFFF"/>
        </w:rPr>
        <w:t>5. Après avoir retenu que les opérations litigieuses avaient été autorisées et relevé que leur mauvaise exécution n'était pas invoquée, la cour d'appel a, à bon droit, recherché, comme elle y était invitée, si la banque avait commis un manquement à son obligation contractuelle de vigilance.</w:t>
      </w:r>
    </w:p>
    <w:p w14:paraId="79E67399" w14:textId="77777777" w:rsidR="00610E71" w:rsidRPr="00363419" w:rsidRDefault="00610E71" w:rsidP="00610E71">
      <w:pPr>
        <w:jc w:val="both"/>
        <w:rPr>
          <w:color w:val="000000" w:themeColor="text1"/>
          <w:shd w:val="clear" w:color="auto" w:fill="FFFFFF"/>
        </w:rPr>
      </w:pPr>
    </w:p>
    <w:p w14:paraId="18EDB2B0" w14:textId="77777777" w:rsidR="00610E71" w:rsidRPr="00363419" w:rsidRDefault="00610E71" w:rsidP="00610E71">
      <w:pPr>
        <w:jc w:val="both"/>
        <w:rPr>
          <w:color w:val="000000" w:themeColor="text1"/>
        </w:rPr>
      </w:pPr>
      <w:r w:rsidRPr="00363419">
        <w:rPr>
          <w:color w:val="000000" w:themeColor="text1"/>
          <w:shd w:val="clear" w:color="auto" w:fill="FFFFFF"/>
        </w:rPr>
        <w:t>6. Le moyen n'est donc pas fondé.</w:t>
      </w:r>
    </w:p>
    <w:p w14:paraId="71ECD862" w14:textId="77777777" w:rsidR="00610E71" w:rsidRPr="00363419" w:rsidRDefault="00610E71" w:rsidP="00610E71">
      <w:pPr>
        <w:jc w:val="both"/>
        <w:rPr>
          <w:color w:val="000000" w:themeColor="text1"/>
          <w:shd w:val="clear" w:color="auto" w:fill="FFFFFF"/>
        </w:rPr>
      </w:pPr>
    </w:p>
    <w:p w14:paraId="26362EA0" w14:textId="77777777" w:rsidR="00610E71" w:rsidRPr="00363419" w:rsidRDefault="00610E71" w:rsidP="00610E71">
      <w:pPr>
        <w:jc w:val="both"/>
        <w:rPr>
          <w:color w:val="000000" w:themeColor="text1"/>
        </w:rPr>
      </w:pPr>
      <w:r w:rsidRPr="00363419">
        <w:rPr>
          <w:color w:val="000000" w:themeColor="text1"/>
          <w:shd w:val="clear" w:color="auto" w:fill="FFFFFF"/>
        </w:rPr>
        <w:t>Mais sur le second moyen</w:t>
      </w:r>
    </w:p>
    <w:p w14:paraId="07A76FBE" w14:textId="77777777" w:rsidR="00610E71" w:rsidRPr="00363419" w:rsidRDefault="00610E71" w:rsidP="00610E71">
      <w:pPr>
        <w:jc w:val="both"/>
        <w:rPr>
          <w:color w:val="000000" w:themeColor="text1"/>
          <w:shd w:val="clear" w:color="auto" w:fill="FFFFFF"/>
        </w:rPr>
      </w:pPr>
    </w:p>
    <w:p w14:paraId="3D7687AB" w14:textId="77777777" w:rsidR="00610E71" w:rsidRPr="00363419" w:rsidRDefault="00610E71" w:rsidP="00610E71">
      <w:pPr>
        <w:jc w:val="both"/>
        <w:rPr>
          <w:color w:val="000000" w:themeColor="text1"/>
        </w:rPr>
      </w:pPr>
      <w:proofErr w:type="spellStart"/>
      <w:r w:rsidRPr="00363419">
        <w:rPr>
          <w:color w:val="000000" w:themeColor="text1"/>
          <w:shd w:val="clear" w:color="auto" w:fill="FFFFFF"/>
        </w:rPr>
        <w:t>Enoncé</w:t>
      </w:r>
      <w:proofErr w:type="spellEnd"/>
      <w:r w:rsidRPr="00363419">
        <w:rPr>
          <w:color w:val="000000" w:themeColor="text1"/>
          <w:shd w:val="clear" w:color="auto" w:fill="FFFFFF"/>
        </w:rPr>
        <w:t xml:space="preserve"> du moyen</w:t>
      </w:r>
      <w:r w:rsidRPr="00363419">
        <w:rPr>
          <w:rStyle w:val="apple-converted-space"/>
          <w:color w:val="000000" w:themeColor="text1"/>
          <w:shd w:val="clear" w:color="auto" w:fill="FFFFFF"/>
        </w:rPr>
        <w:t> </w:t>
      </w:r>
    </w:p>
    <w:p w14:paraId="073F7514" w14:textId="77777777" w:rsidR="00610E71" w:rsidRPr="00363419" w:rsidRDefault="00610E71" w:rsidP="00610E71">
      <w:pPr>
        <w:jc w:val="both"/>
        <w:rPr>
          <w:color w:val="000000" w:themeColor="text1"/>
          <w:shd w:val="clear" w:color="auto" w:fill="FFFFFF"/>
        </w:rPr>
      </w:pPr>
    </w:p>
    <w:p w14:paraId="287B3E75" w14:textId="77777777" w:rsidR="00610E71" w:rsidRPr="00363419" w:rsidRDefault="00610E71" w:rsidP="00610E71">
      <w:pPr>
        <w:jc w:val="both"/>
        <w:rPr>
          <w:color w:val="000000" w:themeColor="text1"/>
        </w:rPr>
      </w:pPr>
      <w:r w:rsidRPr="00363419">
        <w:rPr>
          <w:color w:val="000000" w:themeColor="text1"/>
          <w:shd w:val="clear" w:color="auto" w:fill="FFFFFF"/>
        </w:rPr>
        <w:t>7. La banque fait le même grief à l'arrêt, alors « qu'en présence d'un ordre de virement affecté d'anomalies apparentes, la banque est tenue de vérifier sa régularité auprès de la personne contractuellement habilitée à le valider ; qu'au cas présent, il est acquis aux débats que le virement litigieux a été ordonné par Mme [Y], secrétaire-comptable au sein de la société, conventionnellement habilitée à passer des ordres de virement ; qu'il s'en évince que la banque n'était pas tenue de vérifier la régularité des ordres litigieux auprès du dirigeant social, représentant légal de la société ; que pour dire que la banque avait commis une faute et engager sa responsabilité de ce chef, la cour d'appel a retenu qu'au-delà des trois premiers virements qui s'inscrivaient dans un volume d'affaires courant, la répétition des virements suivants aurait dû conduire la banque à s'assurer auprès du représentant légal de la société, M. [X], de la régularité des opérations ; qu'en statuant ainsi, la cour d'appel, qui a pourtant relevé que Mme [Y] était conventionnellement habilitée à valider les ordres de virement, n'a pas tiré les conséquences légales de ses propres constatations, violant ainsi l'article 1147, devenu 1231-1 du code civil. »</w:t>
      </w:r>
    </w:p>
    <w:p w14:paraId="1B17DF34" w14:textId="77777777" w:rsidR="00610E71" w:rsidRPr="00363419" w:rsidRDefault="00610E71" w:rsidP="00610E71">
      <w:pPr>
        <w:jc w:val="both"/>
        <w:rPr>
          <w:color w:val="000000" w:themeColor="text1"/>
          <w:shd w:val="clear" w:color="auto" w:fill="FFFFFF"/>
        </w:rPr>
      </w:pPr>
    </w:p>
    <w:p w14:paraId="7DDA996A" w14:textId="77777777" w:rsidR="00610E71" w:rsidRPr="00363419" w:rsidRDefault="00610E71" w:rsidP="00610E71">
      <w:pPr>
        <w:jc w:val="both"/>
        <w:rPr>
          <w:color w:val="000000" w:themeColor="text1"/>
        </w:rPr>
      </w:pPr>
      <w:r w:rsidRPr="00363419">
        <w:rPr>
          <w:color w:val="000000" w:themeColor="text1"/>
          <w:shd w:val="clear" w:color="auto" w:fill="FFFFFF"/>
        </w:rPr>
        <w:t>Réponse de la Cour</w:t>
      </w:r>
    </w:p>
    <w:p w14:paraId="463C7B4E" w14:textId="77777777" w:rsidR="00610E71" w:rsidRPr="00363419" w:rsidRDefault="00610E71" w:rsidP="00610E71">
      <w:pPr>
        <w:jc w:val="both"/>
        <w:rPr>
          <w:color w:val="000000" w:themeColor="text1"/>
          <w:shd w:val="clear" w:color="auto" w:fill="FFFFFF"/>
        </w:rPr>
      </w:pPr>
    </w:p>
    <w:p w14:paraId="19534CA9" w14:textId="77777777" w:rsidR="00610E71" w:rsidRPr="00363419" w:rsidRDefault="00610E71" w:rsidP="00610E71">
      <w:pPr>
        <w:jc w:val="both"/>
        <w:rPr>
          <w:color w:val="000000" w:themeColor="text1"/>
        </w:rPr>
      </w:pPr>
      <w:r w:rsidRPr="00363419">
        <w:rPr>
          <w:color w:val="000000" w:themeColor="text1"/>
          <w:shd w:val="clear" w:color="auto" w:fill="FFFFFF"/>
        </w:rPr>
        <w:t>Vu l'article 1231-1 du code civil :</w:t>
      </w:r>
    </w:p>
    <w:p w14:paraId="2BB0A365" w14:textId="77777777" w:rsidR="00610E71" w:rsidRPr="00363419" w:rsidRDefault="00610E71" w:rsidP="00610E71">
      <w:pPr>
        <w:jc w:val="both"/>
        <w:rPr>
          <w:color w:val="000000" w:themeColor="text1"/>
          <w:shd w:val="clear" w:color="auto" w:fill="FFFFFF"/>
        </w:rPr>
      </w:pPr>
    </w:p>
    <w:p w14:paraId="327935C8" w14:textId="77777777" w:rsidR="00610E71" w:rsidRPr="00363419" w:rsidRDefault="00610E71" w:rsidP="00610E71">
      <w:pPr>
        <w:jc w:val="both"/>
        <w:rPr>
          <w:color w:val="000000" w:themeColor="text1"/>
        </w:rPr>
      </w:pPr>
      <w:r w:rsidRPr="00363419">
        <w:rPr>
          <w:color w:val="000000" w:themeColor="text1"/>
          <w:shd w:val="clear" w:color="auto" w:fill="FFFFFF"/>
        </w:rPr>
        <w:t>8. Le banquier, tenu à l'obligation de ne pas s'immiscer dans les affaires de son client, ne doit l'alerter qu'en présence d'anomalies apparentes aisément décelables par un professionnel normalement diligent.</w:t>
      </w:r>
      <w:r w:rsidRPr="00363419">
        <w:rPr>
          <w:rStyle w:val="apple-converted-space"/>
          <w:color w:val="000000" w:themeColor="text1"/>
          <w:shd w:val="clear" w:color="auto" w:fill="FFFFFF"/>
        </w:rPr>
        <w:t> </w:t>
      </w:r>
    </w:p>
    <w:p w14:paraId="6F10F632" w14:textId="77777777" w:rsidR="00610E71" w:rsidRPr="00363419" w:rsidRDefault="00610E71" w:rsidP="00610E71">
      <w:pPr>
        <w:jc w:val="both"/>
        <w:rPr>
          <w:color w:val="000000" w:themeColor="text1"/>
          <w:shd w:val="clear" w:color="auto" w:fill="FFFFFF"/>
        </w:rPr>
      </w:pPr>
    </w:p>
    <w:p w14:paraId="78C1D35F" w14:textId="77777777" w:rsidR="00610E71" w:rsidRPr="00363419" w:rsidRDefault="00610E71" w:rsidP="00610E71">
      <w:pPr>
        <w:jc w:val="both"/>
        <w:rPr>
          <w:color w:val="000000" w:themeColor="text1"/>
        </w:rPr>
      </w:pPr>
      <w:r w:rsidRPr="00363419">
        <w:rPr>
          <w:color w:val="000000" w:themeColor="text1"/>
          <w:shd w:val="clear" w:color="auto" w:fill="FFFFFF"/>
        </w:rPr>
        <w:t>9. En présence d'ordres de virement affectés d'anomalies apparentes, la banque est tenue, en exécution de son obligation de vigilance, d'en vérifier la régularité auprès de la personne contractuellement habilitée à les transmettre.</w:t>
      </w:r>
    </w:p>
    <w:p w14:paraId="3ED6E36A" w14:textId="77777777" w:rsidR="00610E71" w:rsidRPr="00363419" w:rsidRDefault="00610E71" w:rsidP="00610E71">
      <w:pPr>
        <w:jc w:val="both"/>
        <w:rPr>
          <w:color w:val="000000" w:themeColor="text1"/>
          <w:shd w:val="clear" w:color="auto" w:fill="FFFFFF"/>
        </w:rPr>
      </w:pPr>
    </w:p>
    <w:p w14:paraId="54DF35BE" w14:textId="77777777" w:rsidR="00610E71" w:rsidRPr="00363419" w:rsidRDefault="00610E71" w:rsidP="00610E71">
      <w:pPr>
        <w:jc w:val="both"/>
        <w:rPr>
          <w:color w:val="000000" w:themeColor="text1"/>
        </w:rPr>
      </w:pPr>
      <w:r w:rsidRPr="00363419">
        <w:rPr>
          <w:color w:val="000000" w:themeColor="text1"/>
          <w:shd w:val="clear" w:color="auto" w:fill="FFFFFF"/>
        </w:rPr>
        <w:lastRenderedPageBreak/>
        <w:t>10. Pour retenir la responsabilité de la banque, l'arrêt retient que la répétition des virements litigieux aurait dû conduire celle-ci à s'assurer auprès du représentant légal de sa cliente de la validité de ces opérations inhabituelles.</w:t>
      </w:r>
    </w:p>
    <w:p w14:paraId="121DAADE" w14:textId="77777777" w:rsidR="00610E71" w:rsidRPr="00363419" w:rsidRDefault="00610E71" w:rsidP="00610E71">
      <w:pPr>
        <w:jc w:val="both"/>
        <w:rPr>
          <w:color w:val="000000" w:themeColor="text1"/>
          <w:shd w:val="clear" w:color="auto" w:fill="FFFFFF"/>
        </w:rPr>
      </w:pPr>
    </w:p>
    <w:p w14:paraId="1730CF42" w14:textId="77777777" w:rsidR="00610E71" w:rsidRPr="00363419" w:rsidRDefault="00610E71" w:rsidP="00610E71">
      <w:pPr>
        <w:jc w:val="both"/>
        <w:rPr>
          <w:color w:val="000000" w:themeColor="text1"/>
        </w:rPr>
      </w:pPr>
      <w:r w:rsidRPr="00363419">
        <w:rPr>
          <w:color w:val="000000" w:themeColor="text1"/>
          <w:shd w:val="clear" w:color="auto" w:fill="FFFFFF"/>
        </w:rPr>
        <w:t>11. En statuant ainsi, alors qu'elle avait relevé, par motifs propres et adoptés, que la secrétaire comptable avait été habilitée par convention, à compter du 28 janvier 2020, à créer des bénéficiaires nationaux et internationaux et à réaliser des virements externes sans limite de montant, la cour d'appel a violé les textes susvisés.</w:t>
      </w:r>
      <w:r w:rsidRPr="00363419">
        <w:rPr>
          <w:rStyle w:val="apple-converted-space"/>
          <w:color w:val="000000" w:themeColor="text1"/>
          <w:shd w:val="clear" w:color="auto" w:fill="FFFFFF"/>
        </w:rPr>
        <w:t> </w:t>
      </w:r>
    </w:p>
    <w:p w14:paraId="468BCAD4" w14:textId="77777777" w:rsidR="00610E71" w:rsidRPr="00363419" w:rsidRDefault="00610E71" w:rsidP="00610E71">
      <w:pPr>
        <w:jc w:val="both"/>
        <w:rPr>
          <w:color w:val="000000" w:themeColor="text1"/>
          <w:shd w:val="clear" w:color="auto" w:fill="FFFFFF"/>
        </w:rPr>
      </w:pPr>
    </w:p>
    <w:p w14:paraId="7BF0F52A" w14:textId="77777777" w:rsidR="00610E71" w:rsidRPr="00363419" w:rsidRDefault="00610E71" w:rsidP="00610E71">
      <w:pPr>
        <w:jc w:val="both"/>
        <w:rPr>
          <w:color w:val="000000" w:themeColor="text1"/>
        </w:rPr>
      </w:pPr>
      <w:r w:rsidRPr="00363419">
        <w:rPr>
          <w:color w:val="000000" w:themeColor="text1"/>
          <w:shd w:val="clear" w:color="auto" w:fill="FFFFFF"/>
        </w:rPr>
        <w:t>PAR CES MOTIFS, la Cour :</w:t>
      </w:r>
    </w:p>
    <w:p w14:paraId="65FA3767" w14:textId="77777777" w:rsidR="00610E71" w:rsidRPr="00363419" w:rsidRDefault="00610E71" w:rsidP="00610E71">
      <w:pPr>
        <w:jc w:val="both"/>
        <w:rPr>
          <w:color w:val="000000" w:themeColor="text1"/>
          <w:shd w:val="clear" w:color="auto" w:fill="FFFFFF"/>
        </w:rPr>
      </w:pPr>
    </w:p>
    <w:p w14:paraId="4B2C60E1" w14:textId="77777777" w:rsidR="00610E71" w:rsidRPr="00363419" w:rsidRDefault="00610E71" w:rsidP="00610E71">
      <w:pPr>
        <w:jc w:val="both"/>
        <w:rPr>
          <w:color w:val="000000" w:themeColor="text1"/>
        </w:rPr>
      </w:pPr>
      <w:r w:rsidRPr="00363419">
        <w:rPr>
          <w:color w:val="000000" w:themeColor="text1"/>
          <w:shd w:val="clear" w:color="auto" w:fill="FFFFFF"/>
        </w:rPr>
        <w:t>CASSE ET ANNULE, en toutes ses dispositions, l'arrêt rendu le 5 juillet 2024, entre les parties, par la cour d'appel de Bordeaux ;</w:t>
      </w:r>
    </w:p>
    <w:p w14:paraId="008D7840" w14:textId="77777777" w:rsidR="00610E71" w:rsidRPr="00363419" w:rsidRDefault="00610E71" w:rsidP="00610E71">
      <w:pPr>
        <w:jc w:val="both"/>
        <w:rPr>
          <w:color w:val="000000" w:themeColor="text1"/>
          <w:shd w:val="clear" w:color="auto" w:fill="FFFFFF"/>
        </w:rPr>
      </w:pPr>
    </w:p>
    <w:p w14:paraId="4E4AE0ED" w14:textId="77777777" w:rsidR="00610E71" w:rsidRPr="00363419" w:rsidRDefault="00610E71" w:rsidP="00610E71">
      <w:pPr>
        <w:jc w:val="both"/>
        <w:rPr>
          <w:color w:val="000000" w:themeColor="text1"/>
        </w:rPr>
      </w:pPr>
      <w:r w:rsidRPr="00363419">
        <w:rPr>
          <w:color w:val="000000" w:themeColor="text1"/>
          <w:shd w:val="clear" w:color="auto" w:fill="FFFFFF"/>
        </w:rPr>
        <w:t>Remet l'affaire et les parties dans l'état où elles se trouvaient avant cet arrêt et les renvoie devant la cour d'appel de Toulouse ;</w:t>
      </w:r>
      <w:r w:rsidRPr="00363419">
        <w:rPr>
          <w:rStyle w:val="apple-converted-space"/>
          <w:color w:val="000000" w:themeColor="text1"/>
          <w:shd w:val="clear" w:color="auto" w:fill="FFFFFF"/>
        </w:rPr>
        <w:t> </w:t>
      </w:r>
    </w:p>
    <w:p w14:paraId="29A3CE59" w14:textId="77777777" w:rsidR="00610E71" w:rsidRPr="00363419" w:rsidRDefault="00610E71" w:rsidP="00610E71">
      <w:pPr>
        <w:rPr>
          <w:color w:val="000000" w:themeColor="text1"/>
        </w:rPr>
      </w:pPr>
    </w:p>
    <w:p w14:paraId="0C300101" w14:textId="77777777" w:rsidR="00610E71" w:rsidRPr="00363419" w:rsidRDefault="00610E71" w:rsidP="00610E71">
      <w:pPr>
        <w:rPr>
          <w:b/>
          <w:color w:val="000000" w:themeColor="text1"/>
        </w:rPr>
      </w:pPr>
      <w:r w:rsidRPr="00363419">
        <w:rPr>
          <w:b/>
          <w:color w:val="000000" w:themeColor="text1"/>
        </w:rPr>
        <w:t>Cass. com., 14 janvier 2026, n° 24-19.102</w:t>
      </w:r>
    </w:p>
    <w:p w14:paraId="28A34095" w14:textId="77777777" w:rsidR="00610E71" w:rsidRPr="00363419" w:rsidRDefault="00610E71" w:rsidP="00610E71">
      <w:pPr>
        <w:jc w:val="both"/>
        <w:rPr>
          <w:color w:val="000000" w:themeColor="text1"/>
        </w:rPr>
      </w:pPr>
    </w:p>
    <w:p w14:paraId="19F156F8" w14:textId="77777777" w:rsidR="00610E71" w:rsidRPr="00363419" w:rsidRDefault="00610E71" w:rsidP="00610E71">
      <w:pPr>
        <w:jc w:val="both"/>
        <w:rPr>
          <w:color w:val="000000" w:themeColor="text1"/>
        </w:rPr>
      </w:pPr>
      <w:r w:rsidRPr="00363419">
        <w:rPr>
          <w:color w:val="000000" w:themeColor="text1"/>
          <w:shd w:val="clear" w:color="auto" w:fill="FFFFFF"/>
        </w:rPr>
        <w:t>Faits et procédure</w:t>
      </w:r>
      <w:r w:rsidRPr="00363419">
        <w:rPr>
          <w:rStyle w:val="apple-converted-space"/>
          <w:color w:val="000000" w:themeColor="text1"/>
          <w:shd w:val="clear" w:color="auto" w:fill="FFFFFF"/>
        </w:rPr>
        <w:t> </w:t>
      </w:r>
    </w:p>
    <w:p w14:paraId="5AA21C78" w14:textId="77777777" w:rsidR="00610E71" w:rsidRPr="00363419" w:rsidRDefault="00610E71" w:rsidP="00610E71">
      <w:pPr>
        <w:jc w:val="both"/>
        <w:rPr>
          <w:color w:val="000000" w:themeColor="text1"/>
          <w:shd w:val="clear" w:color="auto" w:fill="FFFFFF"/>
        </w:rPr>
      </w:pPr>
    </w:p>
    <w:p w14:paraId="182B0029" w14:textId="77777777" w:rsidR="00610E71" w:rsidRPr="00363419" w:rsidRDefault="00610E71" w:rsidP="00610E71">
      <w:pPr>
        <w:jc w:val="both"/>
        <w:rPr>
          <w:color w:val="000000" w:themeColor="text1"/>
        </w:rPr>
      </w:pPr>
      <w:r w:rsidRPr="00363419">
        <w:rPr>
          <w:color w:val="000000" w:themeColor="text1"/>
          <w:shd w:val="clear" w:color="auto" w:fill="FFFFFF"/>
        </w:rPr>
        <w:t>2. Selon l'arrêt attaqué (Toulouse, 18 juin 2024), entre novembre 2015 et décembre 2016, Mme [T], employée de la société Heppner société de transports (la société Heppner), a détourné au préjudice de celle-ci des virements effectués par des fournisseurs en substituant à leurs relevés d'identité bancaires celui de ses comptes personnels, ouverts l'un dans les livres de la société BNP Paribas et l'autre, dans les livres de la caisse régionale de Crédit agricole mutuel [Localité 5] (le Crédit agricole).</w:t>
      </w:r>
    </w:p>
    <w:p w14:paraId="44B1F332" w14:textId="77777777" w:rsidR="00610E71" w:rsidRPr="00363419" w:rsidRDefault="00610E71" w:rsidP="00610E71">
      <w:pPr>
        <w:jc w:val="both"/>
        <w:rPr>
          <w:color w:val="000000" w:themeColor="text1"/>
          <w:shd w:val="clear" w:color="auto" w:fill="FFFFFF"/>
        </w:rPr>
      </w:pPr>
    </w:p>
    <w:p w14:paraId="79CB97E2" w14:textId="77777777" w:rsidR="00610E71" w:rsidRPr="00363419" w:rsidRDefault="00610E71" w:rsidP="00610E71">
      <w:pPr>
        <w:jc w:val="both"/>
        <w:rPr>
          <w:color w:val="000000" w:themeColor="text1"/>
        </w:rPr>
      </w:pPr>
      <w:r w:rsidRPr="00363419">
        <w:rPr>
          <w:color w:val="000000" w:themeColor="text1"/>
          <w:shd w:val="clear" w:color="auto" w:fill="FFFFFF"/>
        </w:rPr>
        <w:t>3. La société Heppner a assigné Mme [T], le Crédit agricole et la société BNP Paribas en paiement de dommages et intérêts sur le fondement de la responsabilité délictuelle.</w:t>
      </w:r>
      <w:r w:rsidRPr="00363419">
        <w:rPr>
          <w:rStyle w:val="apple-converted-space"/>
          <w:color w:val="000000" w:themeColor="text1"/>
          <w:shd w:val="clear" w:color="auto" w:fill="FFFFFF"/>
        </w:rPr>
        <w:t> </w:t>
      </w:r>
    </w:p>
    <w:p w14:paraId="128EA753" w14:textId="77777777" w:rsidR="00610E71" w:rsidRPr="00363419" w:rsidRDefault="00610E71" w:rsidP="00610E71">
      <w:pPr>
        <w:jc w:val="both"/>
        <w:rPr>
          <w:color w:val="000000" w:themeColor="text1"/>
          <w:shd w:val="clear" w:color="auto" w:fill="FFFFFF"/>
        </w:rPr>
      </w:pPr>
    </w:p>
    <w:p w14:paraId="05B5D620" w14:textId="77777777" w:rsidR="00610E71" w:rsidRPr="00363419" w:rsidRDefault="00610E71" w:rsidP="00610E71">
      <w:pPr>
        <w:jc w:val="both"/>
        <w:rPr>
          <w:color w:val="000000" w:themeColor="text1"/>
        </w:rPr>
      </w:pPr>
      <w:r w:rsidRPr="00363419">
        <w:rPr>
          <w:color w:val="000000" w:themeColor="text1"/>
          <w:shd w:val="clear" w:color="auto" w:fill="FFFFFF"/>
        </w:rPr>
        <w:t>Examen des moyens</w:t>
      </w:r>
    </w:p>
    <w:p w14:paraId="2BE43B3B" w14:textId="77777777" w:rsidR="00610E71" w:rsidRPr="00363419" w:rsidRDefault="00610E71" w:rsidP="00610E71">
      <w:pPr>
        <w:jc w:val="both"/>
        <w:rPr>
          <w:color w:val="000000" w:themeColor="text1"/>
          <w:shd w:val="clear" w:color="auto" w:fill="FFFFFF"/>
        </w:rPr>
      </w:pPr>
    </w:p>
    <w:p w14:paraId="6DC10359" w14:textId="77777777" w:rsidR="00610E71" w:rsidRPr="00363419" w:rsidRDefault="00610E71" w:rsidP="00610E71">
      <w:pPr>
        <w:jc w:val="both"/>
        <w:rPr>
          <w:color w:val="000000" w:themeColor="text1"/>
        </w:rPr>
      </w:pPr>
      <w:r w:rsidRPr="00363419">
        <w:rPr>
          <w:color w:val="000000" w:themeColor="text1"/>
          <w:shd w:val="clear" w:color="auto" w:fill="FFFFFF"/>
        </w:rPr>
        <w:t>Sur le second moyen du pourvoi provoqué</w:t>
      </w:r>
    </w:p>
    <w:p w14:paraId="20AA6106" w14:textId="77777777" w:rsidR="00610E71" w:rsidRPr="00363419" w:rsidRDefault="00610E71" w:rsidP="00610E71">
      <w:pPr>
        <w:jc w:val="both"/>
        <w:rPr>
          <w:color w:val="000000" w:themeColor="text1"/>
          <w:shd w:val="clear" w:color="auto" w:fill="FFFFFF"/>
        </w:rPr>
      </w:pPr>
    </w:p>
    <w:p w14:paraId="4358E80A" w14:textId="77777777" w:rsidR="00610E71" w:rsidRPr="00363419" w:rsidRDefault="00610E71" w:rsidP="00610E71">
      <w:pPr>
        <w:jc w:val="both"/>
        <w:rPr>
          <w:color w:val="000000" w:themeColor="text1"/>
        </w:rPr>
      </w:pPr>
      <w:r w:rsidRPr="00363419">
        <w:rPr>
          <w:color w:val="000000" w:themeColor="text1"/>
          <w:shd w:val="clear" w:color="auto" w:fill="FFFFFF"/>
        </w:rPr>
        <w:t>4. En application de l'article 1014, alinéa 2, du code de procédure civile, il n'y a pas lieu de statuer par une décision spécialement motivée sur ce moyen qui n'est manifestement pas de nature à entraîner la cassation.</w:t>
      </w:r>
    </w:p>
    <w:p w14:paraId="44CA9EB3" w14:textId="77777777" w:rsidR="00610E71" w:rsidRPr="00363419" w:rsidRDefault="00610E71" w:rsidP="00610E71">
      <w:pPr>
        <w:jc w:val="both"/>
        <w:rPr>
          <w:color w:val="000000" w:themeColor="text1"/>
          <w:shd w:val="clear" w:color="auto" w:fill="FFFFFF"/>
        </w:rPr>
      </w:pPr>
    </w:p>
    <w:p w14:paraId="2C37156A" w14:textId="77777777" w:rsidR="00610E71" w:rsidRPr="00363419" w:rsidRDefault="00610E71" w:rsidP="00610E71">
      <w:pPr>
        <w:jc w:val="both"/>
        <w:rPr>
          <w:color w:val="000000" w:themeColor="text1"/>
        </w:rPr>
      </w:pPr>
      <w:r w:rsidRPr="00363419">
        <w:rPr>
          <w:color w:val="000000" w:themeColor="text1"/>
          <w:shd w:val="clear" w:color="auto" w:fill="FFFFFF"/>
        </w:rPr>
        <w:t>Mais sur le moyen unique du pourvoi principal, pris en ses trois premières branches</w:t>
      </w:r>
    </w:p>
    <w:p w14:paraId="583D5BEC" w14:textId="77777777" w:rsidR="00610E71" w:rsidRPr="00363419" w:rsidRDefault="00610E71" w:rsidP="00610E71">
      <w:pPr>
        <w:jc w:val="both"/>
        <w:rPr>
          <w:color w:val="000000" w:themeColor="text1"/>
          <w:shd w:val="clear" w:color="auto" w:fill="FFFFFF"/>
        </w:rPr>
      </w:pPr>
    </w:p>
    <w:p w14:paraId="44FC5376" w14:textId="77777777" w:rsidR="00610E71" w:rsidRPr="00363419" w:rsidRDefault="00610E71" w:rsidP="00610E71">
      <w:pPr>
        <w:jc w:val="both"/>
        <w:rPr>
          <w:color w:val="000000" w:themeColor="text1"/>
        </w:rPr>
      </w:pPr>
      <w:proofErr w:type="spellStart"/>
      <w:r w:rsidRPr="00363419">
        <w:rPr>
          <w:color w:val="000000" w:themeColor="text1"/>
          <w:shd w:val="clear" w:color="auto" w:fill="FFFFFF"/>
        </w:rPr>
        <w:t>Enoncé</w:t>
      </w:r>
      <w:proofErr w:type="spellEnd"/>
      <w:r w:rsidRPr="00363419">
        <w:rPr>
          <w:color w:val="000000" w:themeColor="text1"/>
          <w:shd w:val="clear" w:color="auto" w:fill="FFFFFF"/>
        </w:rPr>
        <w:t xml:space="preserve"> du moyen</w:t>
      </w:r>
      <w:r w:rsidRPr="00363419">
        <w:rPr>
          <w:rStyle w:val="apple-converted-space"/>
          <w:color w:val="000000" w:themeColor="text1"/>
          <w:shd w:val="clear" w:color="auto" w:fill="FFFFFF"/>
        </w:rPr>
        <w:t> </w:t>
      </w:r>
    </w:p>
    <w:p w14:paraId="1F1AB0D5" w14:textId="77777777" w:rsidR="00610E71" w:rsidRPr="00363419" w:rsidRDefault="00610E71" w:rsidP="00610E71">
      <w:pPr>
        <w:jc w:val="both"/>
        <w:rPr>
          <w:color w:val="000000" w:themeColor="text1"/>
          <w:shd w:val="clear" w:color="auto" w:fill="FFFFFF"/>
        </w:rPr>
      </w:pPr>
    </w:p>
    <w:p w14:paraId="5DFEA27C" w14:textId="77777777" w:rsidR="00610E71" w:rsidRPr="00363419" w:rsidRDefault="00610E71" w:rsidP="00610E71">
      <w:pPr>
        <w:jc w:val="both"/>
        <w:rPr>
          <w:color w:val="000000" w:themeColor="text1"/>
        </w:rPr>
      </w:pPr>
      <w:r w:rsidRPr="00363419">
        <w:rPr>
          <w:color w:val="000000" w:themeColor="text1"/>
          <w:shd w:val="clear" w:color="auto" w:fill="FFFFFF"/>
        </w:rPr>
        <w:t>5. La société BNP Paribas fait grief à l'arrêt de la condamner à payer à la société une certaine somme, alors :</w:t>
      </w:r>
    </w:p>
    <w:p w14:paraId="0CAC575A" w14:textId="77777777" w:rsidR="00610E71" w:rsidRPr="00363419" w:rsidRDefault="00610E71" w:rsidP="00610E71">
      <w:pPr>
        <w:jc w:val="both"/>
        <w:rPr>
          <w:color w:val="000000" w:themeColor="text1"/>
          <w:shd w:val="clear" w:color="auto" w:fill="FFFFFF"/>
        </w:rPr>
      </w:pPr>
    </w:p>
    <w:p w14:paraId="4A9FC52D" w14:textId="77777777" w:rsidR="00610E71" w:rsidRPr="00363419" w:rsidRDefault="00610E71" w:rsidP="00610E71">
      <w:pPr>
        <w:jc w:val="both"/>
        <w:rPr>
          <w:color w:val="000000" w:themeColor="text1"/>
        </w:rPr>
      </w:pPr>
      <w:r w:rsidRPr="00363419">
        <w:rPr>
          <w:color w:val="000000" w:themeColor="text1"/>
          <w:shd w:val="clear" w:color="auto" w:fill="FFFFFF"/>
        </w:rPr>
        <w:t xml:space="preserve">« 1° / que la banque du bénéficiaire d'un virement est tenue de l'inscrire au crédit du compte de ce dernier immédiatement après que son propre compte a été crédité ; qu'en l'espèce, au soutien de ses demandes indemnitaires, la société Heppner lui reprochait d'avoir inscrit sur le compte de sa salariée, Mme [T], des fonds reçus par virements des sociétés </w:t>
      </w:r>
      <w:proofErr w:type="spellStart"/>
      <w:r w:rsidRPr="00363419">
        <w:rPr>
          <w:color w:val="000000" w:themeColor="text1"/>
          <w:shd w:val="clear" w:color="auto" w:fill="FFFFFF"/>
        </w:rPr>
        <w:t>Magetec</w:t>
      </w:r>
      <w:proofErr w:type="spellEnd"/>
      <w:r w:rsidRPr="00363419">
        <w:rPr>
          <w:color w:val="000000" w:themeColor="text1"/>
          <w:shd w:val="clear" w:color="auto" w:fill="FFFFFF"/>
        </w:rPr>
        <w:t xml:space="preserve"> et Tec Loisirs qui </w:t>
      </w:r>
      <w:r w:rsidRPr="00363419">
        <w:rPr>
          <w:color w:val="000000" w:themeColor="text1"/>
          <w:shd w:val="clear" w:color="auto" w:fill="FFFFFF"/>
        </w:rPr>
        <w:lastRenderedPageBreak/>
        <w:t>cette dernière avait détournés à son profit ; qu'en retenant, pour la condamner à payer la somme de 188.178 euros à la société Heppner que " les banques doivent, en cas d'anomalie intellectuelle apparente, surseoir à l'exécution d'un virement le temps d'opérer les vérifications nécessaires auprès du donneur d'ordre ou du bénéficiaire", la cour d'appel a violé l'article 1382 ancien du code civil et l'article L. 133-14 du code monétaire et financier ;</w:t>
      </w:r>
      <w:r w:rsidRPr="00363419">
        <w:rPr>
          <w:rStyle w:val="apple-converted-space"/>
          <w:color w:val="000000" w:themeColor="text1"/>
          <w:shd w:val="clear" w:color="auto" w:fill="FFFFFF"/>
        </w:rPr>
        <w:t> </w:t>
      </w:r>
    </w:p>
    <w:p w14:paraId="6E5C3300" w14:textId="77777777" w:rsidR="00610E71" w:rsidRPr="00363419" w:rsidRDefault="00610E71" w:rsidP="00610E71">
      <w:pPr>
        <w:jc w:val="both"/>
        <w:rPr>
          <w:color w:val="000000" w:themeColor="text1"/>
          <w:shd w:val="clear" w:color="auto" w:fill="FFFFFF"/>
        </w:rPr>
      </w:pPr>
    </w:p>
    <w:p w14:paraId="621D772A" w14:textId="77777777" w:rsidR="00610E71" w:rsidRPr="00363419" w:rsidRDefault="00610E71" w:rsidP="00610E71">
      <w:pPr>
        <w:jc w:val="both"/>
        <w:rPr>
          <w:color w:val="000000" w:themeColor="text1"/>
        </w:rPr>
      </w:pPr>
      <w:r w:rsidRPr="00363419">
        <w:rPr>
          <w:color w:val="000000" w:themeColor="text1"/>
          <w:shd w:val="clear" w:color="auto" w:fill="FFFFFF"/>
        </w:rPr>
        <w:t>2°/ que tenu à une obligation de non-ingérence dans les affaires de son client, le banquier réceptionnaire d'un virement n'a pas à procéder à de quelconques investigations sur l'origine et l'importance des fonds versés sur ses comptes, dès lors que ces opérations ont une apparence de régularité et qu'aucun indice de falsification ne peut être décelé ; qu'en retenant, pour la condamner à payer la somme de 188 178 euros à la société Heppner que "les banques doivent, en cas d'anomalie intellectuelle apparente, surseoir à l'exécution d'un virement le temps d'opérer les vérifications nécessaires auprès du donneur d'ordre ou du bénéficiaire" que de telles anomalies étaient caractérisées au regard du fonctionnement antérieur du compte de Mme [T] et de ses revenus, et qu' "en ne réalisant aucune vérification complémentaire et en ne sollicitant d'[B] [T] aucune explication, la CRCAMT 31 et la BNP Paribas ont commis chacune une faute ayant contribué à la survenue du dommage", la cour d'appel a violé l'article 1382 ancien du code civil ;</w:t>
      </w:r>
      <w:r w:rsidRPr="00363419">
        <w:rPr>
          <w:rStyle w:val="apple-converted-space"/>
          <w:color w:val="000000" w:themeColor="text1"/>
          <w:shd w:val="clear" w:color="auto" w:fill="FFFFFF"/>
        </w:rPr>
        <w:t> </w:t>
      </w:r>
    </w:p>
    <w:p w14:paraId="1F718351" w14:textId="77777777" w:rsidR="00610E71" w:rsidRPr="00363419" w:rsidRDefault="00610E71" w:rsidP="00610E71">
      <w:pPr>
        <w:jc w:val="both"/>
        <w:rPr>
          <w:color w:val="000000" w:themeColor="text1"/>
          <w:shd w:val="clear" w:color="auto" w:fill="FFFFFF"/>
        </w:rPr>
      </w:pPr>
    </w:p>
    <w:p w14:paraId="60C773F8" w14:textId="77777777" w:rsidR="00610E71" w:rsidRPr="00363419" w:rsidRDefault="00610E71" w:rsidP="00610E71">
      <w:pPr>
        <w:jc w:val="both"/>
        <w:rPr>
          <w:color w:val="000000" w:themeColor="text1"/>
        </w:rPr>
      </w:pPr>
      <w:r w:rsidRPr="00363419">
        <w:rPr>
          <w:color w:val="000000" w:themeColor="text1"/>
          <w:shd w:val="clear" w:color="auto" w:fill="FFFFFF"/>
        </w:rPr>
        <w:t>3°/ que tenu à une obligation de non-ingérence dans les affaires de son client, le banquier n'est tenu de déceler que les anomalies apparentes ; qu'en retenant, pour dire qu'il lui appartenait de réaliser des vérifications complémentaires, que "les comptes d'[B] [T] [...] ont été affectés d'anomalies importantes tout à fait apparentes par la réception, alors qu'ils étaient régulièrement ponctionné d'échéances mensuelles de prêt importantes, de la somme de 260 210,24 euros en provenance de comptes appartenant à des personnes morales jusque-là sans lien avec elle, par le biais de 58 virements allant de 773 euros à 20 163 euros, et en avoisinant en moyenne les 3 000 à 5 000 euros, ce en à peine 13 mois", tandis que son salaire s'élevait à "1 910,27 euros net par mois" seulement, quand ni l'importance de la somme virée au regard des revenus du bénéficiaire, ni le fait que le donneur d'ordre n'ait jamais réalisé de versement sur le compte destinataire, ni le fait que des échéances de crédit étaient régulièrement prélevées sur ce compte ne constituent des anomalies apparentes imposant au banquier réceptionnaire de surseoir à l'inscription des fonds au crédit du compte du bénéficiaire, la cour d'appel, qui s'est fondée sur des motifs inopérants, a privé sa décision de base légale au regard de l'article 1382 ancien du code civil ;</w:t>
      </w:r>
    </w:p>
    <w:p w14:paraId="5EB8DE1D" w14:textId="77777777" w:rsidR="00610E71" w:rsidRPr="00363419" w:rsidRDefault="00610E71" w:rsidP="00610E71">
      <w:pPr>
        <w:jc w:val="both"/>
        <w:rPr>
          <w:color w:val="000000" w:themeColor="text1"/>
          <w:shd w:val="clear" w:color="auto" w:fill="FFFFFF"/>
        </w:rPr>
      </w:pPr>
    </w:p>
    <w:p w14:paraId="752DE363" w14:textId="77777777" w:rsidR="00610E71" w:rsidRPr="00363419" w:rsidRDefault="00610E71" w:rsidP="00610E71">
      <w:pPr>
        <w:jc w:val="both"/>
        <w:rPr>
          <w:color w:val="000000" w:themeColor="text1"/>
        </w:rPr>
      </w:pPr>
      <w:r w:rsidRPr="00363419">
        <w:rPr>
          <w:color w:val="000000" w:themeColor="text1"/>
          <w:shd w:val="clear" w:color="auto" w:fill="FFFFFF"/>
        </w:rPr>
        <w:t>Réponse de la Cour</w:t>
      </w:r>
      <w:r w:rsidRPr="00363419">
        <w:rPr>
          <w:rStyle w:val="apple-converted-space"/>
          <w:color w:val="000000" w:themeColor="text1"/>
          <w:shd w:val="clear" w:color="auto" w:fill="FFFFFF"/>
        </w:rPr>
        <w:t> </w:t>
      </w:r>
    </w:p>
    <w:p w14:paraId="7C793988" w14:textId="77777777" w:rsidR="00610E71" w:rsidRPr="00363419" w:rsidRDefault="00610E71" w:rsidP="00610E71">
      <w:pPr>
        <w:jc w:val="both"/>
        <w:rPr>
          <w:color w:val="000000" w:themeColor="text1"/>
          <w:shd w:val="clear" w:color="auto" w:fill="FFFFFF"/>
        </w:rPr>
      </w:pPr>
    </w:p>
    <w:p w14:paraId="51A11E40" w14:textId="77777777" w:rsidR="00610E71" w:rsidRPr="00363419" w:rsidRDefault="00610E71" w:rsidP="00610E71">
      <w:pPr>
        <w:jc w:val="both"/>
        <w:rPr>
          <w:color w:val="000000" w:themeColor="text1"/>
        </w:rPr>
      </w:pPr>
      <w:r w:rsidRPr="00363419">
        <w:rPr>
          <w:color w:val="000000" w:themeColor="text1"/>
          <w:shd w:val="clear" w:color="auto" w:fill="FFFFFF"/>
        </w:rPr>
        <w:t>Vu l'article 1382 devenu 1240 du code civil :</w:t>
      </w:r>
    </w:p>
    <w:p w14:paraId="2D12633B" w14:textId="77777777" w:rsidR="00610E71" w:rsidRPr="00363419" w:rsidRDefault="00610E71" w:rsidP="00610E71">
      <w:pPr>
        <w:jc w:val="both"/>
        <w:rPr>
          <w:color w:val="000000" w:themeColor="text1"/>
          <w:shd w:val="clear" w:color="auto" w:fill="FFFFFF"/>
        </w:rPr>
      </w:pPr>
    </w:p>
    <w:p w14:paraId="35758A14" w14:textId="77777777" w:rsidR="00610E71" w:rsidRPr="00363419" w:rsidRDefault="00610E71" w:rsidP="00610E71">
      <w:pPr>
        <w:jc w:val="both"/>
        <w:rPr>
          <w:color w:val="000000" w:themeColor="text1"/>
        </w:rPr>
      </w:pPr>
      <w:r w:rsidRPr="00363419">
        <w:rPr>
          <w:color w:val="000000" w:themeColor="text1"/>
          <w:shd w:val="clear" w:color="auto" w:fill="FFFFFF"/>
        </w:rPr>
        <w:t>6. La banque, tenue à une obligation de non-ingérence dans les affaires de son client, n'a pas à procéder à des investigations sur l'origine et l'importance des fonds versés sur ses comptes ni même à l'interroger sur l'existence de mouvements de grande ampleur dès lors que ces opérations ont une apparence de régularité et qu'aucun indice de falsification ne peut être décelé.</w:t>
      </w:r>
    </w:p>
    <w:p w14:paraId="793EEB37" w14:textId="77777777" w:rsidR="00610E71" w:rsidRPr="00363419" w:rsidRDefault="00610E71" w:rsidP="00610E71">
      <w:pPr>
        <w:jc w:val="both"/>
        <w:rPr>
          <w:color w:val="000000" w:themeColor="text1"/>
          <w:shd w:val="clear" w:color="auto" w:fill="FFFFFF"/>
        </w:rPr>
      </w:pPr>
    </w:p>
    <w:p w14:paraId="7DD2A7E5" w14:textId="77777777" w:rsidR="00610E71" w:rsidRPr="00363419" w:rsidRDefault="00610E71" w:rsidP="00610E71">
      <w:pPr>
        <w:jc w:val="both"/>
        <w:rPr>
          <w:color w:val="000000" w:themeColor="text1"/>
        </w:rPr>
      </w:pPr>
      <w:r w:rsidRPr="00363419">
        <w:rPr>
          <w:color w:val="000000" w:themeColor="text1"/>
          <w:shd w:val="clear" w:color="auto" w:fill="FFFFFF"/>
        </w:rPr>
        <w:t xml:space="preserve">7. Pour condamner la société BNP Paribas à payer à la société Heppner des dommages et intérêts, l'arrêt relève que les comptes de la salariée ouverts dans les livres de la société BNP Paribas et du Crédit agricole étaient affectés d'anomalies importantes tout à fait apparentes par la réception, alors qu'ils étaient régulièrement ponctionnés d'échéances mensuelles importantes, de la somme de 260 210, 24 euros en provenance de comptes appartenant à des personnes morales </w:t>
      </w:r>
      <w:proofErr w:type="spellStart"/>
      <w:r w:rsidRPr="00363419">
        <w:rPr>
          <w:color w:val="000000" w:themeColor="text1"/>
          <w:shd w:val="clear" w:color="auto" w:fill="FFFFFF"/>
        </w:rPr>
        <w:t>jusque là</w:t>
      </w:r>
      <w:proofErr w:type="spellEnd"/>
      <w:r w:rsidRPr="00363419">
        <w:rPr>
          <w:color w:val="000000" w:themeColor="text1"/>
          <w:shd w:val="clear" w:color="auto" w:fill="FFFFFF"/>
        </w:rPr>
        <w:t xml:space="preserve"> sans lien avec cette salariée par le biais de 58 virements réalisés en à peine </w:t>
      </w:r>
      <w:r w:rsidRPr="00363419">
        <w:rPr>
          <w:color w:val="000000" w:themeColor="text1"/>
          <w:shd w:val="clear" w:color="auto" w:fill="FFFFFF"/>
        </w:rPr>
        <w:lastRenderedPageBreak/>
        <w:t>treize mois. Elle en déduit qu'en ne réalisant aucune vérification complémentaire et en ne sollicitant aucune explication auprès de la bénéficiaire, la banque a commis une faute ayant contribué à la survenue du dommage.</w:t>
      </w:r>
    </w:p>
    <w:p w14:paraId="157FF341" w14:textId="77777777" w:rsidR="00610E71" w:rsidRPr="00363419" w:rsidRDefault="00610E71" w:rsidP="00610E71">
      <w:pPr>
        <w:jc w:val="both"/>
        <w:rPr>
          <w:color w:val="000000" w:themeColor="text1"/>
          <w:shd w:val="clear" w:color="auto" w:fill="FFFFFF"/>
        </w:rPr>
      </w:pPr>
    </w:p>
    <w:p w14:paraId="68A3D037" w14:textId="77777777" w:rsidR="00610E71" w:rsidRPr="00363419" w:rsidRDefault="00610E71" w:rsidP="00610E71">
      <w:pPr>
        <w:jc w:val="both"/>
        <w:rPr>
          <w:color w:val="000000" w:themeColor="text1"/>
        </w:rPr>
      </w:pPr>
      <w:r w:rsidRPr="00363419">
        <w:rPr>
          <w:color w:val="000000" w:themeColor="text1"/>
          <w:shd w:val="clear" w:color="auto" w:fill="FFFFFF"/>
        </w:rPr>
        <w:t>8. En statuant ainsi, par des motifs impropres à caractériser l'existence d'anomalies apparentes aisément décelables ayant affecté les virements exécutés sur le compte ouvert dans les livres de la société BNP Paribas, de nature à engager la responsabilité de cette dernière à l'égard d'un tiers au contrat la liant à sa cliente, la cour d'appel a violé le texte susvisé.</w:t>
      </w:r>
    </w:p>
    <w:p w14:paraId="6F77B262" w14:textId="77777777" w:rsidR="00610E71" w:rsidRPr="00363419" w:rsidRDefault="00610E71" w:rsidP="00610E71">
      <w:pPr>
        <w:jc w:val="both"/>
        <w:rPr>
          <w:color w:val="000000" w:themeColor="text1"/>
          <w:shd w:val="clear" w:color="auto" w:fill="FFFFFF"/>
        </w:rPr>
      </w:pPr>
    </w:p>
    <w:p w14:paraId="5E0342B9" w14:textId="77777777" w:rsidR="00610E71" w:rsidRPr="00363419" w:rsidRDefault="00610E71" w:rsidP="00610E71">
      <w:pPr>
        <w:jc w:val="both"/>
        <w:rPr>
          <w:color w:val="000000" w:themeColor="text1"/>
        </w:rPr>
      </w:pPr>
      <w:r w:rsidRPr="00363419">
        <w:rPr>
          <w:color w:val="000000" w:themeColor="text1"/>
          <w:shd w:val="clear" w:color="auto" w:fill="FFFFFF"/>
        </w:rPr>
        <w:t>Portée et conséquences de la cassation</w:t>
      </w:r>
    </w:p>
    <w:p w14:paraId="3E23AD6A" w14:textId="77777777" w:rsidR="00610E71" w:rsidRPr="00363419" w:rsidRDefault="00610E71" w:rsidP="00610E71">
      <w:pPr>
        <w:jc w:val="both"/>
        <w:rPr>
          <w:color w:val="000000" w:themeColor="text1"/>
          <w:shd w:val="clear" w:color="auto" w:fill="FFFFFF"/>
        </w:rPr>
      </w:pPr>
    </w:p>
    <w:p w14:paraId="79C09F29" w14:textId="77777777" w:rsidR="00610E71" w:rsidRPr="00363419" w:rsidRDefault="00610E71" w:rsidP="00610E71">
      <w:pPr>
        <w:jc w:val="both"/>
        <w:rPr>
          <w:color w:val="000000" w:themeColor="text1"/>
        </w:rPr>
      </w:pPr>
      <w:r w:rsidRPr="00363419">
        <w:rPr>
          <w:color w:val="000000" w:themeColor="text1"/>
          <w:shd w:val="clear" w:color="auto" w:fill="FFFFFF"/>
        </w:rPr>
        <w:t>9. En application de l'article 624 du code de procédure civile, la cassation du chef de dispositif ayant condamné la société BNP Paribas à payer une certaine somme à la société Heppner entraîne, par voie de conséquence, la cassation du chef de dispositif ayant dit que Mme [T] devra supporter la condamnation prononcée contre la société BNP Paribas.</w:t>
      </w:r>
    </w:p>
    <w:p w14:paraId="6DA6D80F" w14:textId="77777777" w:rsidR="00610E71" w:rsidRPr="00363419" w:rsidRDefault="00610E71" w:rsidP="00610E71">
      <w:pPr>
        <w:jc w:val="both"/>
        <w:rPr>
          <w:color w:val="000000" w:themeColor="text1"/>
          <w:shd w:val="clear" w:color="auto" w:fill="FFFFFF"/>
        </w:rPr>
      </w:pPr>
    </w:p>
    <w:p w14:paraId="34BBB481" w14:textId="77777777" w:rsidR="00610E71" w:rsidRPr="00363419" w:rsidRDefault="00610E71" w:rsidP="00610E71">
      <w:pPr>
        <w:jc w:val="both"/>
        <w:rPr>
          <w:color w:val="000000" w:themeColor="text1"/>
        </w:rPr>
      </w:pPr>
      <w:r w:rsidRPr="00363419">
        <w:rPr>
          <w:color w:val="000000" w:themeColor="text1"/>
          <w:shd w:val="clear" w:color="auto" w:fill="FFFFFF"/>
        </w:rPr>
        <w:t>PAR CES MOTIFS, la Cour, sans qu'il y ait lieu de statuer sur les autres griefs du pourvoi principal et du pourvoi provoqué :</w:t>
      </w:r>
    </w:p>
    <w:p w14:paraId="200898D9" w14:textId="77777777" w:rsidR="00610E71" w:rsidRPr="00363419" w:rsidRDefault="00610E71" w:rsidP="00610E71">
      <w:pPr>
        <w:jc w:val="both"/>
        <w:rPr>
          <w:color w:val="000000" w:themeColor="text1"/>
          <w:shd w:val="clear" w:color="auto" w:fill="FFFFFF"/>
        </w:rPr>
      </w:pPr>
    </w:p>
    <w:p w14:paraId="04DC8A76" w14:textId="77777777" w:rsidR="00610E71" w:rsidRPr="00363419" w:rsidRDefault="00610E71" w:rsidP="00610E71">
      <w:pPr>
        <w:jc w:val="both"/>
        <w:rPr>
          <w:color w:val="000000" w:themeColor="text1"/>
        </w:rPr>
      </w:pPr>
      <w:r w:rsidRPr="00363419">
        <w:rPr>
          <w:color w:val="000000" w:themeColor="text1"/>
          <w:shd w:val="clear" w:color="auto" w:fill="FFFFFF"/>
        </w:rPr>
        <w:t>CASSE ET ANNULE, mais seulement en ce qu'il condamne la société BNP Paribas à payer la somme de 188 178 euros à la société Heppner société de transports et en ce qu'il dit que Mme [T] devra supporter la condamnation prononcée contre la société BNP Paribas, l'arrêt rendu le 18 juin 2024, entre les parties, par la cour d'appel de Toulouse ;</w:t>
      </w:r>
    </w:p>
    <w:p w14:paraId="1BB88B3D" w14:textId="77777777" w:rsidR="00610E71" w:rsidRPr="00363419" w:rsidRDefault="00610E71" w:rsidP="00610E71">
      <w:pPr>
        <w:jc w:val="both"/>
        <w:rPr>
          <w:color w:val="000000" w:themeColor="text1"/>
          <w:shd w:val="clear" w:color="auto" w:fill="FFFFFF"/>
        </w:rPr>
      </w:pPr>
    </w:p>
    <w:p w14:paraId="11C269BF" w14:textId="77777777" w:rsidR="00BD5295" w:rsidRPr="00363419" w:rsidRDefault="00610E71" w:rsidP="00610E71">
      <w:pPr>
        <w:jc w:val="both"/>
        <w:rPr>
          <w:color w:val="000000" w:themeColor="text1"/>
        </w:rPr>
      </w:pPr>
      <w:r w:rsidRPr="00363419">
        <w:rPr>
          <w:color w:val="000000" w:themeColor="text1"/>
          <w:shd w:val="clear" w:color="auto" w:fill="FFFFFF"/>
        </w:rPr>
        <w:t>Remet, sur ces points, l'affaire et les parties dans l'état où elles se trouvaient avant cet arrêt et les renvoie devant la cour d'appel de Toulouse autrement composée ;</w:t>
      </w:r>
    </w:p>
    <w:p w14:paraId="6A5F7BE8" w14:textId="77777777" w:rsidR="00BD5295" w:rsidRPr="00363419" w:rsidRDefault="00BD5295" w:rsidP="00610E71">
      <w:pPr>
        <w:jc w:val="both"/>
        <w:rPr>
          <w:color w:val="000000" w:themeColor="text1"/>
        </w:rPr>
      </w:pPr>
    </w:p>
    <w:p w14:paraId="6C2163F9" w14:textId="77777777" w:rsidR="00BD5295" w:rsidRPr="00363419" w:rsidRDefault="00BD5295" w:rsidP="00610E71">
      <w:pPr>
        <w:jc w:val="both"/>
        <w:rPr>
          <w:b/>
          <w:color w:val="000000" w:themeColor="text1"/>
        </w:rPr>
      </w:pPr>
    </w:p>
    <w:p w14:paraId="5805287D" w14:textId="77777777" w:rsidR="006453BF" w:rsidRPr="00363419" w:rsidRDefault="006453BF" w:rsidP="006453BF">
      <w:pPr>
        <w:rPr>
          <w:b/>
          <w:color w:val="000000" w:themeColor="text1"/>
        </w:rPr>
      </w:pPr>
      <w:r w:rsidRPr="00363419">
        <w:rPr>
          <w:b/>
          <w:color w:val="000000" w:themeColor="text1"/>
        </w:rPr>
        <w:t>-Obligation du secret bancaire</w:t>
      </w:r>
    </w:p>
    <w:p w14:paraId="58EF25F1" w14:textId="77777777" w:rsidR="006453BF" w:rsidRPr="00363419" w:rsidRDefault="006453BF" w:rsidP="006453BF">
      <w:pPr>
        <w:rPr>
          <w:b/>
          <w:color w:val="000000" w:themeColor="text1"/>
        </w:rPr>
      </w:pPr>
    </w:p>
    <w:p w14:paraId="698F62EB" w14:textId="77777777" w:rsidR="006453BF" w:rsidRPr="00363419" w:rsidRDefault="006453BF" w:rsidP="006453BF">
      <w:pPr>
        <w:rPr>
          <w:b/>
          <w:color w:val="000000" w:themeColor="text1"/>
        </w:rPr>
      </w:pPr>
      <w:r w:rsidRPr="00363419">
        <w:rPr>
          <w:b/>
          <w:color w:val="000000" w:themeColor="text1"/>
        </w:rPr>
        <w:t>Cass. com., 15 mai 2019, n° 18-10.491</w:t>
      </w:r>
    </w:p>
    <w:p w14:paraId="3CD2BF71" w14:textId="77777777" w:rsidR="006453BF" w:rsidRPr="00363419" w:rsidRDefault="006453BF" w:rsidP="006453BF">
      <w:pPr>
        <w:jc w:val="both"/>
        <w:rPr>
          <w:b/>
          <w:color w:val="000000" w:themeColor="text1"/>
        </w:rPr>
      </w:pPr>
    </w:p>
    <w:p w14:paraId="7C07255E" w14:textId="77777777" w:rsidR="00BD5295" w:rsidRPr="00363419" w:rsidRDefault="00BD5295" w:rsidP="00BD5295">
      <w:pPr>
        <w:shd w:val="clear" w:color="auto" w:fill="FFFFFF"/>
        <w:jc w:val="both"/>
        <w:rPr>
          <w:color w:val="000000" w:themeColor="text1"/>
        </w:rPr>
      </w:pPr>
      <w:r w:rsidRPr="00363419">
        <w:rPr>
          <w:color w:val="000000" w:themeColor="text1"/>
        </w:rPr>
        <w:t xml:space="preserve">Vu l’article L. 511-33 du code </w:t>
      </w:r>
      <w:proofErr w:type="spellStart"/>
      <w:r w:rsidRPr="00363419">
        <w:rPr>
          <w:color w:val="000000" w:themeColor="text1"/>
        </w:rPr>
        <w:t>monétaire</w:t>
      </w:r>
      <w:proofErr w:type="spellEnd"/>
      <w:r w:rsidRPr="00363419">
        <w:rPr>
          <w:color w:val="000000" w:themeColor="text1"/>
        </w:rPr>
        <w:t xml:space="preserve"> et financier, l’article 10 du code civil et les articles 9 et 11 du code de </w:t>
      </w:r>
      <w:proofErr w:type="spellStart"/>
      <w:r w:rsidRPr="00363419">
        <w:rPr>
          <w:color w:val="000000" w:themeColor="text1"/>
        </w:rPr>
        <w:t>procédure</w:t>
      </w:r>
      <w:proofErr w:type="spellEnd"/>
      <w:r w:rsidRPr="00363419">
        <w:rPr>
          <w:color w:val="000000" w:themeColor="text1"/>
        </w:rPr>
        <w:t xml:space="preserve"> civile ; </w:t>
      </w:r>
    </w:p>
    <w:p w14:paraId="393186C1" w14:textId="77777777" w:rsidR="00BD5295" w:rsidRPr="00363419" w:rsidRDefault="00BD5295" w:rsidP="00BD5295">
      <w:pPr>
        <w:shd w:val="clear" w:color="auto" w:fill="FFFFFF"/>
        <w:jc w:val="both"/>
        <w:rPr>
          <w:color w:val="000000" w:themeColor="text1"/>
        </w:rPr>
      </w:pPr>
    </w:p>
    <w:p w14:paraId="3C0B5A7A" w14:textId="77777777" w:rsidR="00BD5295" w:rsidRPr="00363419" w:rsidRDefault="00BD5295" w:rsidP="00BD5295">
      <w:pPr>
        <w:shd w:val="clear" w:color="auto" w:fill="FFFFFF"/>
        <w:jc w:val="both"/>
        <w:rPr>
          <w:color w:val="000000" w:themeColor="text1"/>
        </w:rPr>
      </w:pPr>
      <w:r w:rsidRPr="00363419">
        <w:rPr>
          <w:color w:val="000000" w:themeColor="text1"/>
        </w:rPr>
        <w:t>Attendu, selon l’</w:t>
      </w:r>
      <w:proofErr w:type="spellStart"/>
      <w:r w:rsidRPr="00363419">
        <w:rPr>
          <w:color w:val="000000" w:themeColor="text1"/>
        </w:rPr>
        <w:t>arrêt</w:t>
      </w:r>
      <w:proofErr w:type="spellEnd"/>
      <w:r w:rsidRPr="00363419">
        <w:rPr>
          <w:color w:val="000000" w:themeColor="text1"/>
        </w:rPr>
        <w:t xml:space="preserve"> attaqué, rendu en </w:t>
      </w:r>
      <w:proofErr w:type="spellStart"/>
      <w:r w:rsidRPr="00363419">
        <w:rPr>
          <w:color w:val="000000" w:themeColor="text1"/>
        </w:rPr>
        <w:t>matière</w:t>
      </w:r>
      <w:proofErr w:type="spellEnd"/>
      <w:r w:rsidRPr="00363419">
        <w:rPr>
          <w:color w:val="000000" w:themeColor="text1"/>
        </w:rPr>
        <w:t xml:space="preserve"> de </w:t>
      </w:r>
      <w:proofErr w:type="spellStart"/>
      <w:r w:rsidRPr="00363419">
        <w:rPr>
          <w:color w:val="000000" w:themeColor="text1"/>
        </w:rPr>
        <w:t>référe</w:t>
      </w:r>
      <w:proofErr w:type="spellEnd"/>
      <w:r w:rsidRPr="00363419">
        <w:rPr>
          <w:color w:val="000000" w:themeColor="text1"/>
        </w:rPr>
        <w:t xml:space="preserve">́, que M. et Mme R... , titulaires d’un compte dans les livres de la </w:t>
      </w:r>
      <w:proofErr w:type="spellStart"/>
      <w:r w:rsidRPr="00363419">
        <w:rPr>
          <w:color w:val="000000" w:themeColor="text1"/>
        </w:rPr>
        <w:t>sociéte</w:t>
      </w:r>
      <w:proofErr w:type="spellEnd"/>
      <w:r w:rsidRPr="00363419">
        <w:rPr>
          <w:color w:val="000000" w:themeColor="text1"/>
        </w:rPr>
        <w:t xml:space="preserve">́ Caisse </w:t>
      </w:r>
      <w:proofErr w:type="spellStart"/>
      <w:r w:rsidRPr="00363419">
        <w:rPr>
          <w:color w:val="000000" w:themeColor="text1"/>
        </w:rPr>
        <w:t>régionale</w:t>
      </w:r>
      <w:proofErr w:type="spellEnd"/>
      <w:r w:rsidRPr="00363419">
        <w:rPr>
          <w:color w:val="000000" w:themeColor="text1"/>
        </w:rPr>
        <w:t xml:space="preserve"> de </w:t>
      </w:r>
      <w:proofErr w:type="spellStart"/>
      <w:r w:rsidRPr="00363419">
        <w:rPr>
          <w:color w:val="000000" w:themeColor="text1"/>
        </w:rPr>
        <w:t>crédit</w:t>
      </w:r>
      <w:proofErr w:type="spellEnd"/>
      <w:r w:rsidRPr="00363419">
        <w:rPr>
          <w:color w:val="000000" w:themeColor="text1"/>
        </w:rPr>
        <w:t xml:space="preserve"> agricole mutuel d’Aquitaine (la banque), ont </w:t>
      </w:r>
      <w:proofErr w:type="spellStart"/>
      <w:r w:rsidRPr="00363419">
        <w:rPr>
          <w:color w:val="000000" w:themeColor="text1"/>
        </w:rPr>
        <w:t>émis</w:t>
      </w:r>
      <w:proofErr w:type="spellEnd"/>
      <w:r w:rsidRPr="00363419">
        <w:rPr>
          <w:color w:val="000000" w:themeColor="text1"/>
        </w:rPr>
        <w:t xml:space="preserve"> quatre </w:t>
      </w:r>
      <w:proofErr w:type="spellStart"/>
      <w:r w:rsidRPr="00363419">
        <w:rPr>
          <w:color w:val="000000" w:themeColor="text1"/>
        </w:rPr>
        <w:t>chèques</w:t>
      </w:r>
      <w:proofErr w:type="spellEnd"/>
      <w:r w:rsidRPr="00363419">
        <w:rPr>
          <w:color w:val="000000" w:themeColor="text1"/>
        </w:rPr>
        <w:t xml:space="preserve"> à l’ordre de la </w:t>
      </w:r>
      <w:proofErr w:type="spellStart"/>
      <w:r w:rsidRPr="00363419">
        <w:rPr>
          <w:color w:val="000000" w:themeColor="text1"/>
        </w:rPr>
        <w:t>sociéte</w:t>
      </w:r>
      <w:proofErr w:type="spellEnd"/>
      <w:r w:rsidRPr="00363419">
        <w:rPr>
          <w:color w:val="000000" w:themeColor="text1"/>
        </w:rPr>
        <w:t xml:space="preserve">́ </w:t>
      </w:r>
      <w:proofErr w:type="spellStart"/>
      <w:r w:rsidRPr="00363419">
        <w:rPr>
          <w:color w:val="000000" w:themeColor="text1"/>
        </w:rPr>
        <w:t>Batibox</w:t>
      </w:r>
      <w:proofErr w:type="spellEnd"/>
      <w:r w:rsidRPr="00363419">
        <w:rPr>
          <w:color w:val="000000" w:themeColor="text1"/>
        </w:rPr>
        <w:t xml:space="preserve"> pour un montant global de 14194 euros ; qu’ayant fait valoir que la banque leur avait </w:t>
      </w:r>
      <w:proofErr w:type="spellStart"/>
      <w:r w:rsidRPr="00363419">
        <w:rPr>
          <w:color w:val="000000" w:themeColor="text1"/>
        </w:rPr>
        <w:t>refuse</w:t>
      </w:r>
      <w:proofErr w:type="spellEnd"/>
      <w:r w:rsidRPr="00363419">
        <w:rPr>
          <w:color w:val="000000" w:themeColor="text1"/>
        </w:rPr>
        <w:t xml:space="preserve">́ la communication de la copie de l’endossement des </w:t>
      </w:r>
      <w:proofErr w:type="spellStart"/>
      <w:r w:rsidRPr="00363419">
        <w:rPr>
          <w:color w:val="000000" w:themeColor="text1"/>
        </w:rPr>
        <w:t>chèques</w:t>
      </w:r>
      <w:proofErr w:type="spellEnd"/>
      <w:r w:rsidRPr="00363419">
        <w:rPr>
          <w:color w:val="000000" w:themeColor="text1"/>
        </w:rPr>
        <w:t xml:space="preserve"> ainsi que les informations concernant le </w:t>
      </w:r>
      <w:proofErr w:type="spellStart"/>
      <w:r w:rsidRPr="00363419">
        <w:rPr>
          <w:color w:val="000000" w:themeColor="text1"/>
        </w:rPr>
        <w:t>bénéficiaire</w:t>
      </w:r>
      <w:proofErr w:type="spellEnd"/>
      <w:r w:rsidRPr="00363419">
        <w:rPr>
          <w:color w:val="000000" w:themeColor="text1"/>
        </w:rPr>
        <w:t xml:space="preserve"> effectif du compte </w:t>
      </w:r>
      <w:proofErr w:type="spellStart"/>
      <w:r w:rsidRPr="00363419">
        <w:rPr>
          <w:color w:val="000000" w:themeColor="text1"/>
        </w:rPr>
        <w:t>crédite</w:t>
      </w:r>
      <w:proofErr w:type="spellEnd"/>
      <w:r w:rsidRPr="00363419">
        <w:rPr>
          <w:color w:val="000000" w:themeColor="text1"/>
        </w:rPr>
        <w:t xml:space="preserve">́, M. et Mme R... ont saisi le juge des </w:t>
      </w:r>
      <w:proofErr w:type="spellStart"/>
      <w:r w:rsidRPr="00363419">
        <w:rPr>
          <w:color w:val="000000" w:themeColor="text1"/>
        </w:rPr>
        <w:t>référés</w:t>
      </w:r>
      <w:proofErr w:type="spellEnd"/>
      <w:r w:rsidRPr="00363419">
        <w:rPr>
          <w:color w:val="000000" w:themeColor="text1"/>
        </w:rPr>
        <w:t xml:space="preserve">, sur le fondement de l’article 145 du code de </w:t>
      </w:r>
      <w:proofErr w:type="spellStart"/>
      <w:r w:rsidRPr="00363419">
        <w:rPr>
          <w:color w:val="000000" w:themeColor="text1"/>
        </w:rPr>
        <w:t>procédure</w:t>
      </w:r>
      <w:proofErr w:type="spellEnd"/>
      <w:r w:rsidRPr="00363419">
        <w:rPr>
          <w:color w:val="000000" w:themeColor="text1"/>
        </w:rPr>
        <w:t xml:space="preserve"> civile, pour qu’il ordonne à la banque de produire le verso des </w:t>
      </w:r>
      <w:proofErr w:type="spellStart"/>
      <w:r w:rsidRPr="00363419">
        <w:rPr>
          <w:color w:val="000000" w:themeColor="text1"/>
        </w:rPr>
        <w:t>chèques</w:t>
      </w:r>
      <w:proofErr w:type="spellEnd"/>
      <w:r w:rsidRPr="00363419">
        <w:rPr>
          <w:color w:val="000000" w:themeColor="text1"/>
        </w:rPr>
        <w:t xml:space="preserve"> ; que la banque leur a </w:t>
      </w:r>
      <w:proofErr w:type="spellStart"/>
      <w:r w:rsidRPr="00363419">
        <w:rPr>
          <w:color w:val="000000" w:themeColor="text1"/>
        </w:rPr>
        <w:t>oppose</w:t>
      </w:r>
      <w:proofErr w:type="spellEnd"/>
      <w:r w:rsidRPr="00363419">
        <w:rPr>
          <w:color w:val="000000" w:themeColor="text1"/>
        </w:rPr>
        <w:t xml:space="preserve">́, notamment, le secret bancaire ; </w:t>
      </w:r>
    </w:p>
    <w:p w14:paraId="1A9AD549" w14:textId="77777777" w:rsidR="00BD5295" w:rsidRPr="00363419" w:rsidRDefault="00BD5295" w:rsidP="00BD5295">
      <w:pPr>
        <w:shd w:val="clear" w:color="auto" w:fill="FFFFFF"/>
        <w:jc w:val="both"/>
        <w:rPr>
          <w:color w:val="000000" w:themeColor="text1"/>
        </w:rPr>
      </w:pPr>
    </w:p>
    <w:p w14:paraId="40F518A0" w14:textId="77777777" w:rsidR="00BD5295" w:rsidRPr="00363419" w:rsidRDefault="00BD5295" w:rsidP="00BD5295">
      <w:pPr>
        <w:shd w:val="clear" w:color="auto" w:fill="FFFFFF"/>
        <w:jc w:val="both"/>
        <w:rPr>
          <w:color w:val="000000" w:themeColor="text1"/>
        </w:rPr>
      </w:pPr>
      <w:r w:rsidRPr="00363419">
        <w:rPr>
          <w:color w:val="000000" w:themeColor="text1"/>
        </w:rPr>
        <w:t>Attendu que pour rejeter la demande, l’</w:t>
      </w:r>
      <w:proofErr w:type="spellStart"/>
      <w:r w:rsidRPr="00363419">
        <w:rPr>
          <w:color w:val="000000" w:themeColor="text1"/>
        </w:rPr>
        <w:t>arrêt</w:t>
      </w:r>
      <w:proofErr w:type="spellEnd"/>
      <w:r w:rsidRPr="00363419">
        <w:rPr>
          <w:color w:val="000000" w:themeColor="text1"/>
        </w:rPr>
        <w:t xml:space="preserve"> retient qu’en produisant les </w:t>
      </w:r>
      <w:proofErr w:type="spellStart"/>
      <w:r w:rsidRPr="00363419">
        <w:rPr>
          <w:color w:val="000000" w:themeColor="text1"/>
        </w:rPr>
        <w:t>pièces</w:t>
      </w:r>
      <w:proofErr w:type="spellEnd"/>
      <w:r w:rsidRPr="00363419">
        <w:rPr>
          <w:color w:val="000000" w:themeColor="text1"/>
        </w:rPr>
        <w:t xml:space="preserve"> </w:t>
      </w:r>
      <w:proofErr w:type="spellStart"/>
      <w:r w:rsidRPr="00363419">
        <w:rPr>
          <w:color w:val="000000" w:themeColor="text1"/>
        </w:rPr>
        <w:t>demandées</w:t>
      </w:r>
      <w:proofErr w:type="spellEnd"/>
      <w:r w:rsidRPr="00363419">
        <w:rPr>
          <w:color w:val="000000" w:themeColor="text1"/>
        </w:rPr>
        <w:t xml:space="preserve">, la banque divulguerait les informations figurant au verso des </w:t>
      </w:r>
      <w:proofErr w:type="spellStart"/>
      <w:r w:rsidRPr="00363419">
        <w:rPr>
          <w:color w:val="000000" w:themeColor="text1"/>
        </w:rPr>
        <w:t>chèques</w:t>
      </w:r>
      <w:proofErr w:type="spellEnd"/>
      <w:r w:rsidRPr="00363419">
        <w:rPr>
          <w:color w:val="000000" w:themeColor="text1"/>
        </w:rPr>
        <w:t xml:space="preserve"> et porterait ainsi atteinte au secret dont sont titulaires les </w:t>
      </w:r>
      <w:proofErr w:type="spellStart"/>
      <w:r w:rsidRPr="00363419">
        <w:rPr>
          <w:color w:val="000000" w:themeColor="text1"/>
        </w:rPr>
        <w:t>bénéficiaires</w:t>
      </w:r>
      <w:proofErr w:type="spellEnd"/>
      <w:r w:rsidRPr="00363419">
        <w:rPr>
          <w:color w:val="000000" w:themeColor="text1"/>
        </w:rPr>
        <w:t xml:space="preserve"> desdits </w:t>
      </w:r>
      <w:proofErr w:type="spellStart"/>
      <w:r w:rsidRPr="00363419">
        <w:rPr>
          <w:color w:val="000000" w:themeColor="text1"/>
        </w:rPr>
        <w:t>chèques</w:t>
      </w:r>
      <w:proofErr w:type="spellEnd"/>
      <w:r w:rsidRPr="00363419">
        <w:rPr>
          <w:color w:val="000000" w:themeColor="text1"/>
        </w:rPr>
        <w:t xml:space="preserve"> ; </w:t>
      </w:r>
    </w:p>
    <w:p w14:paraId="15BE9A6E" w14:textId="77777777" w:rsidR="00BD5295" w:rsidRPr="00363419" w:rsidRDefault="00BD5295" w:rsidP="00BD5295">
      <w:pPr>
        <w:shd w:val="clear" w:color="auto" w:fill="FFFFFF"/>
        <w:jc w:val="both"/>
        <w:rPr>
          <w:color w:val="000000" w:themeColor="text1"/>
        </w:rPr>
      </w:pPr>
    </w:p>
    <w:p w14:paraId="4C371B71" w14:textId="77777777" w:rsidR="00BD5295" w:rsidRPr="00363419" w:rsidRDefault="00BD5295" w:rsidP="00BD5295">
      <w:pPr>
        <w:shd w:val="clear" w:color="auto" w:fill="FFFFFF"/>
        <w:jc w:val="both"/>
        <w:rPr>
          <w:color w:val="000000" w:themeColor="text1"/>
        </w:rPr>
      </w:pPr>
      <w:r w:rsidRPr="00363419">
        <w:rPr>
          <w:color w:val="000000" w:themeColor="text1"/>
        </w:rPr>
        <w:t xml:space="preserve">Qu’en se </w:t>
      </w:r>
      <w:proofErr w:type="spellStart"/>
      <w:r w:rsidRPr="00363419">
        <w:rPr>
          <w:color w:val="000000" w:themeColor="text1"/>
        </w:rPr>
        <w:t>déterminant</w:t>
      </w:r>
      <w:proofErr w:type="spellEnd"/>
      <w:r w:rsidRPr="00363419">
        <w:rPr>
          <w:color w:val="000000" w:themeColor="text1"/>
        </w:rPr>
        <w:t xml:space="preserve"> ainsi, sans rechercher si la communication à M. et Mme R... des informations figurant au verso des </w:t>
      </w:r>
      <w:proofErr w:type="spellStart"/>
      <w:r w:rsidRPr="00363419">
        <w:rPr>
          <w:color w:val="000000" w:themeColor="text1"/>
        </w:rPr>
        <w:t>chèques</w:t>
      </w:r>
      <w:proofErr w:type="spellEnd"/>
      <w:r w:rsidRPr="00363419">
        <w:rPr>
          <w:color w:val="000000" w:themeColor="text1"/>
        </w:rPr>
        <w:t xml:space="preserve"> qu’ils avaient </w:t>
      </w:r>
      <w:proofErr w:type="spellStart"/>
      <w:r w:rsidRPr="00363419">
        <w:rPr>
          <w:color w:val="000000" w:themeColor="text1"/>
        </w:rPr>
        <w:t>émis</w:t>
      </w:r>
      <w:proofErr w:type="spellEnd"/>
      <w:r w:rsidRPr="00363419">
        <w:rPr>
          <w:color w:val="000000" w:themeColor="text1"/>
        </w:rPr>
        <w:t xml:space="preserve"> n’</w:t>
      </w:r>
      <w:proofErr w:type="spellStart"/>
      <w:r w:rsidRPr="00363419">
        <w:rPr>
          <w:color w:val="000000" w:themeColor="text1"/>
        </w:rPr>
        <w:t>était</w:t>
      </w:r>
      <w:proofErr w:type="spellEnd"/>
      <w:r w:rsidRPr="00363419">
        <w:rPr>
          <w:color w:val="000000" w:themeColor="text1"/>
        </w:rPr>
        <w:t xml:space="preserve"> pas indispensable à </w:t>
      </w:r>
      <w:r w:rsidRPr="00363419">
        <w:rPr>
          <w:color w:val="000000" w:themeColor="text1"/>
        </w:rPr>
        <w:lastRenderedPageBreak/>
        <w:t>l’exercice de leur droit à la preuve, pour rechercher l’</w:t>
      </w:r>
      <w:proofErr w:type="spellStart"/>
      <w:r w:rsidRPr="00363419">
        <w:rPr>
          <w:color w:val="000000" w:themeColor="text1"/>
        </w:rPr>
        <w:t>éventuelle</w:t>
      </w:r>
      <w:proofErr w:type="spellEnd"/>
      <w:r w:rsidRPr="00363419">
        <w:rPr>
          <w:color w:val="000000" w:themeColor="text1"/>
        </w:rPr>
        <w:t xml:space="preserve"> </w:t>
      </w:r>
      <w:proofErr w:type="spellStart"/>
      <w:r w:rsidRPr="00363419">
        <w:rPr>
          <w:color w:val="000000" w:themeColor="text1"/>
        </w:rPr>
        <w:t>responsabilite</w:t>
      </w:r>
      <w:proofErr w:type="spellEnd"/>
      <w:r w:rsidRPr="00363419">
        <w:rPr>
          <w:color w:val="000000" w:themeColor="text1"/>
        </w:rPr>
        <w:t xml:space="preserve">́ de la banque lors de l’encaissement desdits </w:t>
      </w:r>
      <w:proofErr w:type="spellStart"/>
      <w:r w:rsidRPr="00363419">
        <w:rPr>
          <w:color w:val="000000" w:themeColor="text1"/>
        </w:rPr>
        <w:t>chèques</w:t>
      </w:r>
      <w:proofErr w:type="spellEnd"/>
      <w:r w:rsidRPr="00363419">
        <w:rPr>
          <w:color w:val="000000" w:themeColor="text1"/>
        </w:rPr>
        <w:t xml:space="preserve">, et </w:t>
      </w:r>
      <w:proofErr w:type="spellStart"/>
      <w:r w:rsidRPr="00363419">
        <w:rPr>
          <w:color w:val="000000" w:themeColor="text1"/>
        </w:rPr>
        <w:t>proportionnée</w:t>
      </w:r>
      <w:proofErr w:type="spellEnd"/>
      <w:r w:rsidRPr="00363419">
        <w:rPr>
          <w:color w:val="000000" w:themeColor="text1"/>
        </w:rPr>
        <w:t xml:space="preserve"> aux </w:t>
      </w:r>
      <w:proofErr w:type="spellStart"/>
      <w:r w:rsidRPr="00363419">
        <w:rPr>
          <w:color w:val="000000" w:themeColor="text1"/>
        </w:rPr>
        <w:t>intérêts</w:t>
      </w:r>
      <w:proofErr w:type="spellEnd"/>
      <w:r w:rsidRPr="00363419">
        <w:rPr>
          <w:color w:val="000000" w:themeColor="text1"/>
        </w:rPr>
        <w:t xml:space="preserve"> antinomiques en </w:t>
      </w:r>
      <w:proofErr w:type="spellStart"/>
      <w:r w:rsidRPr="00363419">
        <w:rPr>
          <w:color w:val="000000" w:themeColor="text1"/>
        </w:rPr>
        <w:t>présence</w:t>
      </w:r>
      <w:proofErr w:type="spellEnd"/>
      <w:r w:rsidRPr="00363419">
        <w:rPr>
          <w:color w:val="000000" w:themeColor="text1"/>
        </w:rPr>
        <w:t xml:space="preserve">, incluant la protection du secret dû aux </w:t>
      </w:r>
      <w:proofErr w:type="spellStart"/>
      <w:r w:rsidRPr="00363419">
        <w:rPr>
          <w:color w:val="000000" w:themeColor="text1"/>
        </w:rPr>
        <w:t>bénéficiaires</w:t>
      </w:r>
      <w:proofErr w:type="spellEnd"/>
      <w:r w:rsidRPr="00363419">
        <w:rPr>
          <w:color w:val="000000" w:themeColor="text1"/>
        </w:rPr>
        <w:t xml:space="preserve"> de ces </w:t>
      </w:r>
      <w:proofErr w:type="spellStart"/>
      <w:r w:rsidRPr="00363419">
        <w:rPr>
          <w:color w:val="000000" w:themeColor="text1"/>
        </w:rPr>
        <w:t>chèques</w:t>
      </w:r>
      <w:proofErr w:type="spellEnd"/>
      <w:r w:rsidRPr="00363419">
        <w:rPr>
          <w:color w:val="000000" w:themeColor="text1"/>
        </w:rPr>
        <w:t xml:space="preserve">, la cour d’appel a </w:t>
      </w:r>
      <w:proofErr w:type="spellStart"/>
      <w:r w:rsidRPr="00363419">
        <w:rPr>
          <w:color w:val="000000" w:themeColor="text1"/>
        </w:rPr>
        <w:t>prive</w:t>
      </w:r>
      <w:proofErr w:type="spellEnd"/>
      <w:r w:rsidRPr="00363419">
        <w:rPr>
          <w:color w:val="000000" w:themeColor="text1"/>
        </w:rPr>
        <w:t xml:space="preserve">́ sa </w:t>
      </w:r>
      <w:proofErr w:type="spellStart"/>
      <w:r w:rsidRPr="00363419">
        <w:rPr>
          <w:color w:val="000000" w:themeColor="text1"/>
        </w:rPr>
        <w:t>décision</w:t>
      </w:r>
      <w:proofErr w:type="spellEnd"/>
      <w:r w:rsidRPr="00363419">
        <w:rPr>
          <w:color w:val="000000" w:themeColor="text1"/>
        </w:rPr>
        <w:t xml:space="preserve"> de base </w:t>
      </w:r>
      <w:proofErr w:type="spellStart"/>
      <w:r w:rsidRPr="00363419">
        <w:rPr>
          <w:color w:val="000000" w:themeColor="text1"/>
        </w:rPr>
        <w:t>légale</w:t>
      </w:r>
      <w:proofErr w:type="spellEnd"/>
      <w:r w:rsidRPr="00363419">
        <w:rPr>
          <w:color w:val="000000" w:themeColor="text1"/>
        </w:rPr>
        <w:t xml:space="preserve"> ;</w:t>
      </w:r>
    </w:p>
    <w:p w14:paraId="7924A1B4" w14:textId="77777777" w:rsidR="00BD5295" w:rsidRPr="00363419" w:rsidRDefault="00BD5295" w:rsidP="00BD5295">
      <w:pPr>
        <w:shd w:val="clear" w:color="auto" w:fill="FFFFFF"/>
        <w:jc w:val="both"/>
        <w:rPr>
          <w:color w:val="000000" w:themeColor="text1"/>
        </w:rPr>
      </w:pPr>
    </w:p>
    <w:p w14:paraId="0D5C6690" w14:textId="77777777" w:rsidR="00BD5295" w:rsidRPr="00363419" w:rsidRDefault="00BD5295" w:rsidP="00BD5295">
      <w:pPr>
        <w:shd w:val="clear" w:color="auto" w:fill="FFFFFF"/>
        <w:jc w:val="both"/>
        <w:rPr>
          <w:color w:val="000000" w:themeColor="text1"/>
        </w:rPr>
      </w:pPr>
      <w:r w:rsidRPr="00363419">
        <w:rPr>
          <w:color w:val="000000" w:themeColor="text1"/>
        </w:rPr>
        <w:t xml:space="preserve">PAR CES MOTIFS : </w:t>
      </w:r>
    </w:p>
    <w:p w14:paraId="2CD752A5" w14:textId="77777777" w:rsidR="00BD5295" w:rsidRPr="00363419" w:rsidRDefault="00BD5295" w:rsidP="00BD5295">
      <w:pPr>
        <w:shd w:val="clear" w:color="auto" w:fill="FFFFFF"/>
        <w:jc w:val="both"/>
        <w:rPr>
          <w:color w:val="000000" w:themeColor="text1"/>
        </w:rPr>
      </w:pPr>
    </w:p>
    <w:p w14:paraId="5B8A3D7C" w14:textId="77777777" w:rsidR="00BD5295" w:rsidRPr="00363419" w:rsidRDefault="00BD5295" w:rsidP="00BD5295">
      <w:pPr>
        <w:shd w:val="clear" w:color="auto" w:fill="FFFFFF"/>
        <w:jc w:val="both"/>
        <w:rPr>
          <w:color w:val="000000" w:themeColor="text1"/>
        </w:rPr>
      </w:pPr>
      <w:r w:rsidRPr="00363419">
        <w:rPr>
          <w:color w:val="000000" w:themeColor="text1"/>
        </w:rPr>
        <w:t xml:space="preserve">CASSE ET ANNULE, mais seulement en ce que, infirmant l’ordonnance, il rejette la demande de communication </w:t>
      </w:r>
      <w:proofErr w:type="spellStart"/>
      <w:r w:rsidRPr="00363419">
        <w:rPr>
          <w:color w:val="000000" w:themeColor="text1"/>
        </w:rPr>
        <w:t>formée</w:t>
      </w:r>
      <w:proofErr w:type="spellEnd"/>
      <w:r w:rsidRPr="00363419">
        <w:rPr>
          <w:color w:val="000000" w:themeColor="text1"/>
        </w:rPr>
        <w:t xml:space="preserve"> par M. et Mme </w:t>
      </w:r>
      <w:proofErr w:type="gramStart"/>
      <w:r w:rsidRPr="00363419">
        <w:rPr>
          <w:color w:val="000000" w:themeColor="text1"/>
        </w:rPr>
        <w:t>R...</w:t>
      </w:r>
      <w:proofErr w:type="gramEnd"/>
      <w:r w:rsidRPr="00363419">
        <w:rPr>
          <w:color w:val="000000" w:themeColor="text1"/>
        </w:rPr>
        <w:t xml:space="preserve"> , l’</w:t>
      </w:r>
      <w:proofErr w:type="spellStart"/>
      <w:r w:rsidRPr="00363419">
        <w:rPr>
          <w:color w:val="000000" w:themeColor="text1"/>
        </w:rPr>
        <w:t>arrêt</w:t>
      </w:r>
      <w:proofErr w:type="spellEnd"/>
      <w:r w:rsidRPr="00363419">
        <w:rPr>
          <w:color w:val="000000" w:themeColor="text1"/>
        </w:rPr>
        <w:t xml:space="preserve"> rendu le 7 septembre 2017, entre les parties, par la cour d’appel de Bordeaux ; remet, en </w:t>
      </w:r>
      <w:proofErr w:type="spellStart"/>
      <w:r w:rsidRPr="00363419">
        <w:rPr>
          <w:color w:val="000000" w:themeColor="text1"/>
        </w:rPr>
        <w:t>conséquence</w:t>
      </w:r>
      <w:proofErr w:type="spellEnd"/>
      <w:r w:rsidRPr="00363419">
        <w:rPr>
          <w:color w:val="000000" w:themeColor="text1"/>
        </w:rPr>
        <w:t>, sur ce point, la cause et les parties dans l’</w:t>
      </w:r>
      <w:proofErr w:type="spellStart"/>
      <w:r w:rsidRPr="00363419">
        <w:rPr>
          <w:color w:val="000000" w:themeColor="text1"/>
        </w:rPr>
        <w:t>état</w:t>
      </w:r>
      <w:proofErr w:type="spellEnd"/>
      <w:r w:rsidRPr="00363419">
        <w:rPr>
          <w:color w:val="000000" w:themeColor="text1"/>
        </w:rPr>
        <w:t xml:space="preserve"> où elles se trouvaient avant ledit </w:t>
      </w:r>
      <w:proofErr w:type="spellStart"/>
      <w:r w:rsidRPr="00363419">
        <w:rPr>
          <w:color w:val="000000" w:themeColor="text1"/>
        </w:rPr>
        <w:t>arrêt</w:t>
      </w:r>
      <w:proofErr w:type="spellEnd"/>
      <w:r w:rsidRPr="00363419">
        <w:rPr>
          <w:color w:val="000000" w:themeColor="text1"/>
        </w:rPr>
        <w:t xml:space="preserve"> et, pour </w:t>
      </w:r>
      <w:proofErr w:type="spellStart"/>
      <w:r w:rsidRPr="00363419">
        <w:rPr>
          <w:color w:val="000000" w:themeColor="text1"/>
        </w:rPr>
        <w:t>être</w:t>
      </w:r>
      <w:proofErr w:type="spellEnd"/>
      <w:r w:rsidRPr="00363419">
        <w:rPr>
          <w:color w:val="000000" w:themeColor="text1"/>
        </w:rPr>
        <w:t xml:space="preserve"> fait droit, les renvoie devant la cour d’appel de Poitiers. </w:t>
      </w:r>
    </w:p>
    <w:p w14:paraId="6165AB11" w14:textId="77777777" w:rsidR="00BD5295" w:rsidRPr="00363419" w:rsidRDefault="00BD5295" w:rsidP="006453BF">
      <w:pPr>
        <w:jc w:val="both"/>
        <w:rPr>
          <w:b/>
          <w:color w:val="000000" w:themeColor="text1"/>
        </w:rPr>
      </w:pPr>
    </w:p>
    <w:p w14:paraId="14609008" w14:textId="77777777" w:rsidR="00610E71" w:rsidRPr="00363419" w:rsidRDefault="00610E71" w:rsidP="006453BF">
      <w:pPr>
        <w:jc w:val="both"/>
        <w:rPr>
          <w:b/>
          <w:color w:val="000000" w:themeColor="text1"/>
        </w:rPr>
      </w:pPr>
    </w:p>
    <w:p w14:paraId="5782491D" w14:textId="77777777" w:rsidR="006453BF" w:rsidRPr="00363419" w:rsidRDefault="006453BF" w:rsidP="006453BF">
      <w:pPr>
        <w:jc w:val="both"/>
        <w:rPr>
          <w:b/>
          <w:color w:val="000000" w:themeColor="text1"/>
        </w:rPr>
      </w:pPr>
      <w:r w:rsidRPr="00363419">
        <w:rPr>
          <w:b/>
          <w:color w:val="000000" w:themeColor="text1"/>
        </w:rPr>
        <w:t>-Lutte contre le blanchiment d’argent et le financement du terrorisme</w:t>
      </w:r>
    </w:p>
    <w:p w14:paraId="3C3BBEF1" w14:textId="77777777" w:rsidR="006453BF" w:rsidRPr="00363419" w:rsidRDefault="006453BF" w:rsidP="00311170">
      <w:pPr>
        <w:jc w:val="both"/>
        <w:rPr>
          <w:b/>
          <w:color w:val="000000" w:themeColor="text1"/>
        </w:rPr>
      </w:pPr>
    </w:p>
    <w:p w14:paraId="5B19027C" w14:textId="77777777" w:rsidR="00311170" w:rsidRPr="00363419" w:rsidRDefault="00311170" w:rsidP="00311170">
      <w:pPr>
        <w:jc w:val="both"/>
        <w:rPr>
          <w:b/>
          <w:color w:val="000000" w:themeColor="text1"/>
        </w:rPr>
      </w:pPr>
      <w:r w:rsidRPr="00363419">
        <w:rPr>
          <w:b/>
          <w:color w:val="000000" w:themeColor="text1"/>
        </w:rPr>
        <w:t xml:space="preserve">Cass. </w:t>
      </w:r>
      <w:proofErr w:type="spellStart"/>
      <w:proofErr w:type="gramStart"/>
      <w:r w:rsidRPr="00363419">
        <w:rPr>
          <w:b/>
          <w:color w:val="000000" w:themeColor="text1"/>
        </w:rPr>
        <w:t>crim</w:t>
      </w:r>
      <w:proofErr w:type="spellEnd"/>
      <w:proofErr w:type="gramEnd"/>
      <w:r w:rsidRPr="00363419">
        <w:rPr>
          <w:b/>
          <w:color w:val="000000" w:themeColor="text1"/>
        </w:rPr>
        <w:t>., 19 juin 2024, n° 22-81.808</w:t>
      </w:r>
    </w:p>
    <w:p w14:paraId="69812E34" w14:textId="77777777" w:rsidR="00311170" w:rsidRPr="00363419" w:rsidRDefault="00311170" w:rsidP="00311170">
      <w:pPr>
        <w:jc w:val="both"/>
        <w:rPr>
          <w:b/>
          <w:color w:val="000000" w:themeColor="text1"/>
        </w:rPr>
      </w:pPr>
    </w:p>
    <w:p w14:paraId="1BD674F5" w14:textId="77777777" w:rsidR="00BD5295" w:rsidRPr="00363419" w:rsidRDefault="00BD5295" w:rsidP="00BD5295">
      <w:pPr>
        <w:jc w:val="both"/>
        <w:rPr>
          <w:color w:val="000000" w:themeColor="text1"/>
        </w:rPr>
      </w:pPr>
      <w:r w:rsidRPr="00363419">
        <w:rPr>
          <w:color w:val="000000" w:themeColor="text1"/>
        </w:rPr>
        <w:t>Faits et procédure</w:t>
      </w:r>
    </w:p>
    <w:p w14:paraId="0D519C58" w14:textId="77777777" w:rsidR="00BD5295" w:rsidRPr="00363419" w:rsidRDefault="00BD5295" w:rsidP="00BD5295">
      <w:pPr>
        <w:jc w:val="both"/>
        <w:rPr>
          <w:color w:val="000000" w:themeColor="text1"/>
        </w:rPr>
      </w:pPr>
    </w:p>
    <w:p w14:paraId="0EE79E6F" w14:textId="77777777" w:rsidR="00BD5295" w:rsidRPr="00363419" w:rsidRDefault="00BD5295" w:rsidP="00BD5295">
      <w:pPr>
        <w:jc w:val="both"/>
        <w:rPr>
          <w:color w:val="000000" w:themeColor="text1"/>
        </w:rPr>
      </w:pPr>
      <w:r w:rsidRPr="00363419">
        <w:rPr>
          <w:color w:val="000000" w:themeColor="text1"/>
        </w:rPr>
        <w:t xml:space="preserve">2. Par un rapport du 25 septembre 2014, [7] a porté à la connaissance du procureur de la République des faits susceptibles de qualifications pénales concernant l'activité du groupe de sociétés [8] dirigé par MM. [SH] et [WW] [CG]. </w:t>
      </w:r>
      <w:proofErr w:type="spellStart"/>
      <w:r w:rsidRPr="00363419">
        <w:rPr>
          <w:color w:val="000000" w:themeColor="text1"/>
        </w:rPr>
        <w:t>Etaient</w:t>
      </w:r>
      <w:proofErr w:type="spellEnd"/>
      <w:r w:rsidRPr="00363419">
        <w:rPr>
          <w:color w:val="000000" w:themeColor="text1"/>
        </w:rPr>
        <w:t xml:space="preserve"> décrits des flux financiers enregistrés sur les comptes des différentes entités composant ce groupe laissant suspecter une escroquerie de type « chaîne de Ponzi » qui consiste à inviter des clients à investir dans un projet et à les rémunérer, non avec les fruits du capital investi, mais avec des fonds apportés par de nouveaux arrivants.</w:t>
      </w:r>
    </w:p>
    <w:p w14:paraId="66B5C038" w14:textId="77777777" w:rsidR="00BD5295" w:rsidRPr="00363419" w:rsidRDefault="00BD5295" w:rsidP="00BD5295">
      <w:pPr>
        <w:jc w:val="both"/>
        <w:rPr>
          <w:color w:val="000000" w:themeColor="text1"/>
        </w:rPr>
      </w:pPr>
    </w:p>
    <w:p w14:paraId="659C1183" w14:textId="77777777" w:rsidR="00BD5295" w:rsidRPr="00363419" w:rsidRDefault="00BD5295" w:rsidP="00BD5295">
      <w:pPr>
        <w:jc w:val="both"/>
        <w:rPr>
          <w:color w:val="000000" w:themeColor="text1"/>
        </w:rPr>
      </w:pPr>
      <w:r w:rsidRPr="00363419">
        <w:rPr>
          <w:color w:val="000000" w:themeColor="text1"/>
        </w:rPr>
        <w:t>3. A l'issue de l'information judiciaire ouverte sur ces faits, MM. [SH] et [WW] [CG] ont été renvoyés devant le tribunal correctionnel pour y être jugés des chefs d'escroquerie en bande organisée, abus de biens sociaux, abus de confiance, exercice de l'activité de conseil en investissements financiers sans remplir les conditions prévues et blanchiment. </w:t>
      </w:r>
    </w:p>
    <w:p w14:paraId="2F58C162" w14:textId="77777777" w:rsidR="00BD5295" w:rsidRPr="00363419" w:rsidRDefault="00BD5295" w:rsidP="00BD5295">
      <w:pPr>
        <w:jc w:val="both"/>
        <w:rPr>
          <w:color w:val="000000" w:themeColor="text1"/>
        </w:rPr>
      </w:pPr>
    </w:p>
    <w:p w14:paraId="7AFF8A90" w14:textId="77777777" w:rsidR="00BD5295" w:rsidRPr="00363419" w:rsidRDefault="00BD5295" w:rsidP="00BD5295">
      <w:pPr>
        <w:jc w:val="both"/>
        <w:rPr>
          <w:color w:val="000000" w:themeColor="text1"/>
        </w:rPr>
      </w:pPr>
      <w:r w:rsidRPr="00363419">
        <w:rPr>
          <w:color w:val="000000" w:themeColor="text1"/>
        </w:rPr>
        <w:t>4. La société [2] (la [2]), auprès de laquelle la société [8] détenait un compte bancaire, a été renvoyée devant la même juridiction du chef de blanchiment aggravé, pour avoir apporté son concours à des opérations de placement, de dissimulation ou de conversion du produit direct ou indirect des délits reprochés à MM. [SH] et [WW] [CG], en l'espèce en leur permettant d'effectuer au moyen dudit compte des virements à destination de comptes bancaires étrangers, domiciliés notamment à Hong Kong et en Indonésie, portant sur des sommes conséquentes alors que la banque, en raison de sa qualité de professionnelle et des contrôles qu'elle se devait de faire, ne pouvait ignorer l'origine délictuelle des sommes portées sur ce compte qu'elle gérait, eu égard notamment au mode de fonctionnement de celui-ci et à ses obligations de vigilance et de surveillance renforcée s'agissant de l'Indonésie au titre des articles L. 561-2 et suivants du code monétaire et financier, avec les circonstances que les faits ont été commis de façon habituelle et en utilisant des facilités procurées par l'exercice de l'activité professionnelle de banquier. </w:t>
      </w:r>
    </w:p>
    <w:p w14:paraId="3873BED5" w14:textId="77777777" w:rsidR="00BD5295" w:rsidRPr="00363419" w:rsidRDefault="00BD5295" w:rsidP="00BD5295">
      <w:pPr>
        <w:jc w:val="both"/>
        <w:rPr>
          <w:color w:val="000000" w:themeColor="text1"/>
        </w:rPr>
      </w:pPr>
    </w:p>
    <w:p w14:paraId="4B6CC945" w14:textId="77777777" w:rsidR="00BD5295" w:rsidRPr="00363419" w:rsidRDefault="00BD5295" w:rsidP="00BD5295">
      <w:pPr>
        <w:jc w:val="both"/>
        <w:rPr>
          <w:color w:val="000000" w:themeColor="text1"/>
        </w:rPr>
      </w:pPr>
      <w:r w:rsidRPr="00363419">
        <w:rPr>
          <w:color w:val="000000" w:themeColor="text1"/>
        </w:rPr>
        <w:t>5. Par jugement du 26 février 2021, le tribunal correctionnel de Paris a condamné MM. [SH] et [WW] [CG] des chefs susvisés et relaxé la [2]. </w:t>
      </w:r>
    </w:p>
    <w:p w14:paraId="27723861" w14:textId="77777777" w:rsidR="00BD5295" w:rsidRPr="00363419" w:rsidRDefault="00BD5295" w:rsidP="00BD5295">
      <w:pPr>
        <w:jc w:val="both"/>
        <w:rPr>
          <w:color w:val="000000" w:themeColor="text1"/>
        </w:rPr>
      </w:pPr>
    </w:p>
    <w:p w14:paraId="63E9B2AF" w14:textId="77777777" w:rsidR="00BD5295" w:rsidRPr="00363419" w:rsidRDefault="00BD5295" w:rsidP="00BD5295">
      <w:pPr>
        <w:jc w:val="both"/>
        <w:rPr>
          <w:color w:val="000000" w:themeColor="text1"/>
        </w:rPr>
      </w:pPr>
      <w:r w:rsidRPr="00363419">
        <w:rPr>
          <w:color w:val="000000" w:themeColor="text1"/>
        </w:rPr>
        <w:lastRenderedPageBreak/>
        <w:t>6. Sur l'action civile, les premiers juges ont reçu certaines constitutions de parties civiles et condamné solidairement MM. [WW] et [SH] [CG] à les indemniser de leur préjudice. Les parties civiles ont été déboutées de leurs demandes à l'égard la [2]. </w:t>
      </w:r>
    </w:p>
    <w:p w14:paraId="1778CE6D" w14:textId="77777777" w:rsidR="00BD5295" w:rsidRPr="00363419" w:rsidRDefault="00BD5295" w:rsidP="00BD5295">
      <w:pPr>
        <w:jc w:val="both"/>
        <w:rPr>
          <w:color w:val="000000" w:themeColor="text1"/>
        </w:rPr>
      </w:pPr>
    </w:p>
    <w:p w14:paraId="1093DFD3" w14:textId="77777777" w:rsidR="00BD5295" w:rsidRPr="00363419" w:rsidRDefault="00BD5295" w:rsidP="00BD5295">
      <w:pPr>
        <w:jc w:val="both"/>
        <w:rPr>
          <w:color w:val="000000" w:themeColor="text1"/>
        </w:rPr>
      </w:pPr>
      <w:r w:rsidRPr="00363419">
        <w:rPr>
          <w:color w:val="000000" w:themeColor="text1"/>
        </w:rPr>
        <w:t>7. MM. [WW] et [SH] [CG], le procureur de la République et plusieurs parties civiles ont interjeté appel du jugement.</w:t>
      </w:r>
    </w:p>
    <w:p w14:paraId="13FE6C49" w14:textId="77777777" w:rsidR="00BD5295" w:rsidRPr="00363419" w:rsidRDefault="00BD5295" w:rsidP="00BD5295">
      <w:pPr>
        <w:jc w:val="both"/>
        <w:rPr>
          <w:color w:val="000000" w:themeColor="text1"/>
        </w:rPr>
      </w:pPr>
    </w:p>
    <w:p w14:paraId="228CDCB3" w14:textId="77777777" w:rsidR="00BD5295" w:rsidRPr="00363419" w:rsidRDefault="00BD5295" w:rsidP="00BD5295">
      <w:pPr>
        <w:jc w:val="both"/>
        <w:rPr>
          <w:color w:val="000000" w:themeColor="text1"/>
        </w:rPr>
      </w:pPr>
      <w:r w:rsidRPr="00363419">
        <w:rPr>
          <w:color w:val="000000" w:themeColor="text1"/>
        </w:rPr>
        <w:t>(…)</w:t>
      </w:r>
    </w:p>
    <w:p w14:paraId="10FB9101" w14:textId="77777777" w:rsidR="00BD5295" w:rsidRPr="00363419" w:rsidRDefault="00BD5295" w:rsidP="00BD5295">
      <w:pPr>
        <w:jc w:val="both"/>
        <w:rPr>
          <w:color w:val="000000" w:themeColor="text1"/>
        </w:rPr>
      </w:pPr>
    </w:p>
    <w:p w14:paraId="1DF67BE7" w14:textId="77777777" w:rsidR="00BD5295" w:rsidRPr="00363419" w:rsidRDefault="00BD5295" w:rsidP="00BD5295">
      <w:pPr>
        <w:jc w:val="both"/>
        <w:rPr>
          <w:color w:val="000000" w:themeColor="text1"/>
        </w:rPr>
      </w:pPr>
      <w:r w:rsidRPr="00363419">
        <w:rPr>
          <w:color w:val="000000" w:themeColor="text1"/>
        </w:rPr>
        <w:t>17. Le premier moyen critique l'arrêt attaqué en ce qu'il a déclaré la [2] coupable du chef de blanchiment aggravé pour la période comprise entre juillet 2012 et juillet 2014, alors :</w:t>
      </w:r>
      <w:r w:rsidRPr="00363419">
        <w:rPr>
          <w:color w:val="000000" w:themeColor="text1"/>
        </w:rPr>
        <w:br/>
      </w:r>
      <w:r w:rsidRPr="00363419">
        <w:rPr>
          <w:color w:val="000000" w:themeColor="text1"/>
        </w:rPr>
        <w:br/>
        <w:t>« 1°/ que l'élément matériel du délit de blanchiment est caractérisé par un acte matériel de concours à une opération de placement, de dissimulation ou de conversion du produit direct ou indirect d'un crime ou d'un délit ; que la méconnaissance des obligations professionnelles relatives à la lutte contre le blanchiment, de vigilance et de déclaration, faute de constituer un concours, ne suffit pas à caractériser l'élément matériel du blanchiment ; qu'en se bornant, pour déclarer l'exposante coupable de blanchiment, à relever divers manquements de l'exposante à ses obligations professionnelles en matière de lutte contre le blanchiment, sans constater l'existence d'un acte matériel de concours à une opération de placement, dissimulation ou conversion, la cour d'appel a méconnu l'article 593 du code de procédure pénale ensemble l'article 324-1 du code pénal ;</w:t>
      </w:r>
    </w:p>
    <w:p w14:paraId="13FC0AA9" w14:textId="77777777" w:rsidR="00BD5295" w:rsidRPr="00363419" w:rsidRDefault="00BD5295" w:rsidP="00BD5295">
      <w:pPr>
        <w:jc w:val="both"/>
        <w:rPr>
          <w:color w:val="000000" w:themeColor="text1"/>
        </w:rPr>
      </w:pPr>
    </w:p>
    <w:p w14:paraId="4731C2A5" w14:textId="77777777" w:rsidR="00BD5295" w:rsidRPr="00363419" w:rsidRDefault="00BD5295" w:rsidP="00BD5295">
      <w:pPr>
        <w:jc w:val="both"/>
        <w:rPr>
          <w:color w:val="000000" w:themeColor="text1"/>
        </w:rPr>
      </w:pPr>
      <w:r w:rsidRPr="00363419">
        <w:rPr>
          <w:color w:val="000000" w:themeColor="text1"/>
        </w:rPr>
        <w:t>(…)</w:t>
      </w:r>
    </w:p>
    <w:p w14:paraId="5B051832" w14:textId="77777777" w:rsidR="00BD5295" w:rsidRPr="00363419" w:rsidRDefault="00BD5295" w:rsidP="00BD5295">
      <w:pPr>
        <w:jc w:val="both"/>
        <w:rPr>
          <w:color w:val="000000" w:themeColor="text1"/>
        </w:rPr>
      </w:pPr>
    </w:p>
    <w:p w14:paraId="6D7E1159" w14:textId="77777777" w:rsidR="00BD5295" w:rsidRPr="00363419" w:rsidRDefault="00BD5295" w:rsidP="00BD5295">
      <w:pPr>
        <w:jc w:val="both"/>
        <w:outlineLvl w:val="2"/>
        <w:rPr>
          <w:color w:val="000000" w:themeColor="text1"/>
        </w:rPr>
      </w:pPr>
      <w:r w:rsidRPr="00363419">
        <w:rPr>
          <w:color w:val="000000" w:themeColor="text1"/>
        </w:rPr>
        <w:t>Motivation</w:t>
      </w:r>
    </w:p>
    <w:p w14:paraId="186C85B6" w14:textId="77777777" w:rsidR="00BD5295" w:rsidRPr="00363419" w:rsidRDefault="00BD5295" w:rsidP="00BD5295">
      <w:pPr>
        <w:jc w:val="both"/>
        <w:rPr>
          <w:color w:val="000000" w:themeColor="text1"/>
        </w:rPr>
      </w:pPr>
      <w:r w:rsidRPr="00363419">
        <w:rPr>
          <w:color w:val="000000" w:themeColor="text1"/>
        </w:rPr>
        <w:t>Réponse de la Cour</w:t>
      </w:r>
    </w:p>
    <w:p w14:paraId="16524CB2" w14:textId="77777777" w:rsidR="00BD5295" w:rsidRPr="00363419" w:rsidRDefault="00BD5295" w:rsidP="00BD5295">
      <w:pPr>
        <w:jc w:val="both"/>
        <w:rPr>
          <w:color w:val="000000" w:themeColor="text1"/>
        </w:rPr>
      </w:pPr>
    </w:p>
    <w:p w14:paraId="6E54F744" w14:textId="77777777" w:rsidR="00BD5295" w:rsidRPr="00363419" w:rsidRDefault="00BD5295" w:rsidP="00BD5295">
      <w:pPr>
        <w:jc w:val="both"/>
        <w:rPr>
          <w:color w:val="000000" w:themeColor="text1"/>
        </w:rPr>
      </w:pPr>
      <w:r w:rsidRPr="00363419">
        <w:rPr>
          <w:color w:val="000000" w:themeColor="text1"/>
        </w:rPr>
        <w:t>18. Pour déclarer la [2] coupable de blanchiment aggravé entre juillet 2012 et juillet 2014 et prononcer à son encontre notamment des condamnations civiles, l'arrêt attaqué énonce que l'établissement bancaire a reçu durant plusieurs années des signaux d'alarme pluriels, qu'il détaille, qui auraient dû l'intriguer et l'inquiéter, puis l'amener à faire part de ses soupçons. </w:t>
      </w:r>
    </w:p>
    <w:p w14:paraId="4C9EEB28" w14:textId="77777777" w:rsidR="00BD5295" w:rsidRPr="00363419" w:rsidRDefault="00BD5295" w:rsidP="00BD5295">
      <w:pPr>
        <w:jc w:val="both"/>
        <w:rPr>
          <w:color w:val="000000" w:themeColor="text1"/>
        </w:rPr>
      </w:pPr>
    </w:p>
    <w:p w14:paraId="07B03653" w14:textId="77777777" w:rsidR="00BD5295" w:rsidRPr="00363419" w:rsidRDefault="00BD5295" w:rsidP="00BD5295">
      <w:pPr>
        <w:jc w:val="both"/>
        <w:rPr>
          <w:color w:val="000000" w:themeColor="text1"/>
        </w:rPr>
      </w:pPr>
      <w:r w:rsidRPr="00363419">
        <w:rPr>
          <w:color w:val="000000" w:themeColor="text1"/>
        </w:rPr>
        <w:t>19. Les juges constatent que la gestionnaire du compte a sollicité un grand nombre de justificatifs auprès de M. [WW] [CG], qui ont été mis à disposition des organes de contrôle, notamment le service de lutte anti-blanchiment ([6]), mais que le traitement de ces informations n'a pas été approfondi avec la vigilance attendue, les experts juridiques du [6] n'ayant manifestement pas mis leurs compétences au service d'une analyse des contrats, pourtant suspects.</w:t>
      </w:r>
    </w:p>
    <w:p w14:paraId="0E20CAFF" w14:textId="77777777" w:rsidR="00BD5295" w:rsidRPr="00363419" w:rsidRDefault="00BD5295" w:rsidP="00BD5295">
      <w:pPr>
        <w:jc w:val="both"/>
        <w:rPr>
          <w:color w:val="000000" w:themeColor="text1"/>
        </w:rPr>
      </w:pPr>
    </w:p>
    <w:p w14:paraId="1B185EFF" w14:textId="77777777" w:rsidR="00BD5295" w:rsidRPr="00363419" w:rsidRDefault="00BD5295" w:rsidP="00BD5295">
      <w:pPr>
        <w:jc w:val="both"/>
        <w:rPr>
          <w:color w:val="000000" w:themeColor="text1"/>
        </w:rPr>
      </w:pPr>
      <w:r w:rsidRPr="00363419">
        <w:rPr>
          <w:color w:val="000000" w:themeColor="text1"/>
        </w:rPr>
        <w:t>20. Ils constatent également que les spécialistes du chiffre n'ont pas effectué des investigations sur le caractère réaliste ou illusoire des taux de rendement promis. </w:t>
      </w:r>
    </w:p>
    <w:p w14:paraId="1101259F" w14:textId="77777777" w:rsidR="00BD5295" w:rsidRPr="00363419" w:rsidRDefault="00BD5295" w:rsidP="00BD5295">
      <w:pPr>
        <w:jc w:val="both"/>
        <w:rPr>
          <w:color w:val="000000" w:themeColor="text1"/>
        </w:rPr>
      </w:pPr>
    </w:p>
    <w:p w14:paraId="740CF516" w14:textId="77777777" w:rsidR="00BD5295" w:rsidRPr="00363419" w:rsidRDefault="00BD5295" w:rsidP="00BD5295">
      <w:pPr>
        <w:jc w:val="both"/>
        <w:rPr>
          <w:color w:val="000000" w:themeColor="text1"/>
        </w:rPr>
      </w:pPr>
      <w:r w:rsidRPr="00363419">
        <w:rPr>
          <w:color w:val="000000" w:themeColor="text1"/>
        </w:rPr>
        <w:t>21. Ils affirment que se contenter de la profession des investisseurs, pour en déduire qu'ils étaient nécessairement éclairés, participe d'un manque de vigilance coupable.</w:t>
      </w:r>
    </w:p>
    <w:p w14:paraId="30235344" w14:textId="77777777" w:rsidR="00BD5295" w:rsidRPr="00363419" w:rsidRDefault="00BD5295" w:rsidP="00BD5295">
      <w:pPr>
        <w:jc w:val="both"/>
        <w:rPr>
          <w:color w:val="000000" w:themeColor="text1"/>
        </w:rPr>
      </w:pPr>
    </w:p>
    <w:p w14:paraId="563E1E5C" w14:textId="77777777" w:rsidR="00BD5295" w:rsidRPr="00363419" w:rsidRDefault="00BD5295" w:rsidP="00BD5295">
      <w:pPr>
        <w:jc w:val="both"/>
        <w:rPr>
          <w:color w:val="000000" w:themeColor="text1"/>
        </w:rPr>
      </w:pPr>
      <w:r w:rsidRPr="00363419">
        <w:rPr>
          <w:color w:val="000000" w:themeColor="text1"/>
        </w:rPr>
        <w:t xml:space="preserve">22. Ils retiennent que, lors de l'audience, le représentant de la banque, interpellé sur ce cloisonnement entre les gestionnaires de clientèle d'une part, et le [6] d'autre part, l'a justifié comme étant un moyen de protection, mais relèvent qu'une analyse partagée d'informations de nature à l'alerter aurait abouti à une articulation plus efficace de la réponse, précisant que, d'une </w:t>
      </w:r>
      <w:r w:rsidRPr="00363419">
        <w:rPr>
          <w:color w:val="000000" w:themeColor="text1"/>
        </w:rPr>
        <w:lastRenderedPageBreak/>
        <w:t>part, la gestionnaire du compte aurait été moins isolée pour mesurer la gravité des agissements de son client, d'autre part, le [6], mieux informé, aurait déployé des moyens d'investigation plus poussés. Ils soulignent qu'il est manifeste que le manque de vigilance ainsi démontré résulte d'une faute collective.</w:t>
      </w:r>
    </w:p>
    <w:p w14:paraId="281F9447" w14:textId="77777777" w:rsidR="00BD5295" w:rsidRPr="00363419" w:rsidRDefault="00BD5295" w:rsidP="00BD5295">
      <w:pPr>
        <w:jc w:val="both"/>
        <w:rPr>
          <w:color w:val="000000" w:themeColor="text1"/>
        </w:rPr>
      </w:pPr>
    </w:p>
    <w:p w14:paraId="5E882E00" w14:textId="77777777" w:rsidR="00BD5295" w:rsidRPr="00363419" w:rsidRDefault="00BD5295" w:rsidP="00BD5295">
      <w:pPr>
        <w:jc w:val="both"/>
        <w:rPr>
          <w:color w:val="000000" w:themeColor="text1"/>
        </w:rPr>
      </w:pPr>
      <w:r w:rsidRPr="00363419">
        <w:rPr>
          <w:color w:val="000000" w:themeColor="text1"/>
        </w:rPr>
        <w:t>23. Ils relèvent également que si la banque insiste sur le fait qu'elle n'a pas les moyens d'investigation des officiers de police judiciaire et qu'elle ne peut s'immiscer dans la vie privée de ses clients ou dans la gestion des entreprises, l'étude minutieuse des documents contractuels remis, et les investigations sur les taux susceptibles d'être pratiqués dans le Sud-Est asiatique entraient dans les pouvoirs de l'établissement sans constituer une atteinte au droit au respect de la vie privée du client et que d'ailleurs, la déclaration de soupçon du 23 juin 2014 visait des informations que la banque détenait depuis plusieurs mois. </w:t>
      </w:r>
    </w:p>
    <w:p w14:paraId="29599769" w14:textId="77777777" w:rsidR="00BD5295" w:rsidRPr="00363419" w:rsidRDefault="00BD5295" w:rsidP="00BD5295">
      <w:pPr>
        <w:jc w:val="both"/>
        <w:rPr>
          <w:color w:val="000000" w:themeColor="text1"/>
        </w:rPr>
      </w:pPr>
    </w:p>
    <w:p w14:paraId="6D124FB7" w14:textId="77777777" w:rsidR="00BD5295" w:rsidRPr="00363419" w:rsidRDefault="00BD5295" w:rsidP="00BD5295">
      <w:pPr>
        <w:jc w:val="both"/>
        <w:rPr>
          <w:color w:val="000000" w:themeColor="text1"/>
        </w:rPr>
      </w:pPr>
      <w:r w:rsidRPr="00363419">
        <w:rPr>
          <w:color w:val="000000" w:themeColor="text1"/>
        </w:rPr>
        <w:t>24. Ils indiquent que l'établissement bancaire ne peut se prévaloir des conclusions du contrôle de l'Autorité de contrôle prudentiel et de résolution, pour affirmer qu'aucune faute ne peut lui être reprochée, et que ces conclusions, d'ordre très général, portant sur le dispositif mis en place dans la lutte contre le blanchiment et non pas sur la façon que la banque a eu de gérer le compte de la société [8], ne peuvent donc s'analyser comme un blanc-seing sur ce point. </w:t>
      </w:r>
    </w:p>
    <w:p w14:paraId="7288FEA3" w14:textId="77777777" w:rsidR="00BD5295" w:rsidRPr="00363419" w:rsidRDefault="00BD5295" w:rsidP="00BD5295">
      <w:pPr>
        <w:jc w:val="both"/>
        <w:rPr>
          <w:color w:val="000000" w:themeColor="text1"/>
        </w:rPr>
      </w:pPr>
    </w:p>
    <w:p w14:paraId="0C9DA748" w14:textId="77777777" w:rsidR="00BD5295" w:rsidRPr="00363419" w:rsidRDefault="00BD5295" w:rsidP="00BD5295">
      <w:pPr>
        <w:jc w:val="both"/>
        <w:rPr>
          <w:color w:val="000000" w:themeColor="text1"/>
        </w:rPr>
      </w:pPr>
      <w:r w:rsidRPr="00363419">
        <w:rPr>
          <w:color w:val="000000" w:themeColor="text1"/>
        </w:rPr>
        <w:t>25. Ils ajoutent que ces conclusions, qui contiennent quelques réserves, soulignent que des progrès restent à accomplir notamment dans la justification de l'activité professionnelle, du patrimoine et des revenus des clients, et que les outils informatiques sont robustes mais insuffisamment intégrés et assez peu conviviaux. </w:t>
      </w:r>
    </w:p>
    <w:p w14:paraId="17273692" w14:textId="77777777" w:rsidR="00BD5295" w:rsidRPr="00363419" w:rsidRDefault="00BD5295" w:rsidP="00BD5295">
      <w:pPr>
        <w:jc w:val="both"/>
        <w:rPr>
          <w:color w:val="000000" w:themeColor="text1"/>
        </w:rPr>
      </w:pPr>
    </w:p>
    <w:p w14:paraId="56654878" w14:textId="77777777" w:rsidR="00BD5295" w:rsidRPr="00363419" w:rsidRDefault="00BD5295" w:rsidP="00BD5295">
      <w:pPr>
        <w:jc w:val="both"/>
        <w:rPr>
          <w:color w:val="000000" w:themeColor="text1"/>
        </w:rPr>
      </w:pPr>
      <w:r w:rsidRPr="00363419">
        <w:rPr>
          <w:color w:val="000000" w:themeColor="text1"/>
        </w:rPr>
        <w:t>26. Ils observent que ces réserves concernent précisément les reproches susvisés dans la gestion du compte intéressant la présente procédure, à savoir un objet social flou de la société [8], évoquant patrimoine et bien-être, l'évocation dans l'objet social de la notion de « Conseil en investissement, gestion patrimoniale » avec des doutes sur la réunion des conditions permettant de dispenser des conseils sous le statut de conseil en investissements financiers, des flux disproportionnés par rapport au chiffre d'affaires et ne pouvant manifestement pas correspondre à des rémunérations de conseiller en investissement et gestion du patrimoine, des alertes informatiques efficaces mais constitutives de contrôles mécaniques non suivies des nécessaires approches humaines, expertes, croisées et distanciées permettant une approche globale du fonctionnement du compte. </w:t>
      </w:r>
    </w:p>
    <w:p w14:paraId="0699FDBC" w14:textId="77777777" w:rsidR="00BD5295" w:rsidRPr="00363419" w:rsidRDefault="00BD5295" w:rsidP="00BD5295">
      <w:pPr>
        <w:jc w:val="both"/>
        <w:rPr>
          <w:color w:val="000000" w:themeColor="text1"/>
        </w:rPr>
      </w:pPr>
    </w:p>
    <w:p w14:paraId="5CA7DC7A" w14:textId="77777777" w:rsidR="00BD5295" w:rsidRPr="00363419" w:rsidRDefault="00BD5295" w:rsidP="00BD5295">
      <w:pPr>
        <w:jc w:val="both"/>
        <w:rPr>
          <w:color w:val="000000" w:themeColor="text1"/>
        </w:rPr>
      </w:pPr>
      <w:r w:rsidRPr="00363419">
        <w:rPr>
          <w:color w:val="000000" w:themeColor="text1"/>
        </w:rPr>
        <w:t>27. La cour d'appel en conclut que des manquements en matière de lutte contre le blanchiment sont démontrés à l'encontre de la [2].</w:t>
      </w:r>
    </w:p>
    <w:p w14:paraId="2EC22397" w14:textId="77777777" w:rsidR="00BD5295" w:rsidRPr="00363419" w:rsidRDefault="00BD5295" w:rsidP="00BD5295">
      <w:pPr>
        <w:jc w:val="both"/>
        <w:rPr>
          <w:color w:val="000000" w:themeColor="text1"/>
        </w:rPr>
      </w:pPr>
    </w:p>
    <w:p w14:paraId="68DC2794" w14:textId="77777777" w:rsidR="00BD5295" w:rsidRPr="00363419" w:rsidRDefault="00BD5295" w:rsidP="00BD5295">
      <w:pPr>
        <w:jc w:val="both"/>
        <w:rPr>
          <w:color w:val="000000" w:themeColor="text1"/>
        </w:rPr>
      </w:pPr>
      <w:r w:rsidRPr="00363419">
        <w:rPr>
          <w:color w:val="000000" w:themeColor="text1"/>
        </w:rPr>
        <w:t>28. Elle ajoute que la notion de concours apporté aux prévenus suppose la connaissance de l'origine illicite des fonds par la personne morale et que la question qui se pose, alors même que la période de prévention s'étend de janvier 2009 à juillet 2014, est celle de savoir à partir de quelle date l'établissement n'a pas pu ignorer que des flux frauduleux circulaient sur le compte qu'elle gérait.</w:t>
      </w:r>
    </w:p>
    <w:p w14:paraId="60E73CCB" w14:textId="77777777" w:rsidR="00BD5295" w:rsidRPr="00363419" w:rsidRDefault="00BD5295" w:rsidP="00BD5295">
      <w:pPr>
        <w:jc w:val="both"/>
        <w:rPr>
          <w:color w:val="000000" w:themeColor="text1"/>
        </w:rPr>
      </w:pPr>
    </w:p>
    <w:p w14:paraId="22142465" w14:textId="77777777" w:rsidR="00BD5295" w:rsidRPr="00363419" w:rsidRDefault="00BD5295" w:rsidP="00BD5295">
      <w:pPr>
        <w:jc w:val="both"/>
        <w:rPr>
          <w:color w:val="000000" w:themeColor="text1"/>
        </w:rPr>
      </w:pPr>
      <w:r w:rsidRPr="00363419">
        <w:rPr>
          <w:color w:val="000000" w:themeColor="text1"/>
        </w:rPr>
        <w:t>29. Elle relève que l'année 2012 est une année cruciale à plusieurs égards, le score du compte litigieux étant passé en alerte orange à la fin de cette année, les flux en provenance ou à destination de l'Indonésie ayant sensiblement augmenté, le Groupe d'action financière ayant inscrit l'Indonésie sur la liste grise des pays suspects en matière de lutte contre le blanchiment et les rapports d'activité [7] ayant notamment alerté les professionnels du crédit sur les risques liés à l'existence de chaînes de Ponzi. </w:t>
      </w:r>
    </w:p>
    <w:p w14:paraId="79C4F8B3" w14:textId="77777777" w:rsidR="00BD5295" w:rsidRPr="00363419" w:rsidRDefault="00BD5295" w:rsidP="00BD5295">
      <w:pPr>
        <w:jc w:val="both"/>
        <w:rPr>
          <w:color w:val="000000" w:themeColor="text1"/>
        </w:rPr>
      </w:pPr>
    </w:p>
    <w:p w14:paraId="1485EC35" w14:textId="77777777" w:rsidR="00BD5295" w:rsidRPr="00363419" w:rsidRDefault="00BD5295" w:rsidP="00BD5295">
      <w:pPr>
        <w:jc w:val="both"/>
        <w:rPr>
          <w:color w:val="000000" w:themeColor="text1"/>
        </w:rPr>
      </w:pPr>
      <w:r w:rsidRPr="00363419">
        <w:rPr>
          <w:color w:val="000000" w:themeColor="text1"/>
        </w:rPr>
        <w:t>30. Elle en déduit que c'est au cours de l'année 2012 que la [2] a pleinement disposé de l'information, sous la forme d'un faisceau d'indices, permettant de caractériser la conscience que l'établissement avait de l'origine frauduleuse des fonds, que c'est donc à partir de ce moment que la banque a manqué à son obligation de vigilance renforcée ainsi qu'à son devoir de procéder à une déclaration de soupçon et que son attitude peut s'analyser comme constituant l'apport, en connaissance de cause, d'un « concours » aux prévenus, la déclaration de soupçon effectuée le 23 juin 2014 étant nécessairement tardive. </w:t>
      </w:r>
    </w:p>
    <w:p w14:paraId="70C3666C" w14:textId="77777777" w:rsidR="00BD5295" w:rsidRPr="00363419" w:rsidRDefault="00BD5295" w:rsidP="00BD5295">
      <w:pPr>
        <w:jc w:val="both"/>
        <w:rPr>
          <w:color w:val="000000" w:themeColor="text1"/>
        </w:rPr>
      </w:pPr>
    </w:p>
    <w:p w14:paraId="133D2DC8" w14:textId="77777777" w:rsidR="00BD5295" w:rsidRPr="00363419" w:rsidRDefault="00BD5295" w:rsidP="00BD5295">
      <w:pPr>
        <w:jc w:val="both"/>
        <w:rPr>
          <w:color w:val="000000" w:themeColor="text1"/>
        </w:rPr>
      </w:pPr>
      <w:r w:rsidRPr="00363419">
        <w:rPr>
          <w:color w:val="000000" w:themeColor="text1"/>
        </w:rPr>
        <w:t>31. En statuant ainsi, la cour d'appel a justifié sa décision pour les motifs qui suivent. </w:t>
      </w:r>
    </w:p>
    <w:p w14:paraId="2D11FE64" w14:textId="77777777" w:rsidR="00BD5295" w:rsidRPr="00363419" w:rsidRDefault="00BD5295" w:rsidP="00BD5295">
      <w:pPr>
        <w:jc w:val="both"/>
        <w:rPr>
          <w:color w:val="000000" w:themeColor="text1"/>
        </w:rPr>
      </w:pPr>
    </w:p>
    <w:p w14:paraId="265906AA" w14:textId="77777777" w:rsidR="00BD5295" w:rsidRPr="00363419" w:rsidRDefault="00BD5295" w:rsidP="00BD5295">
      <w:pPr>
        <w:jc w:val="both"/>
        <w:rPr>
          <w:color w:val="000000" w:themeColor="text1"/>
        </w:rPr>
      </w:pPr>
      <w:r w:rsidRPr="00363419">
        <w:rPr>
          <w:color w:val="000000" w:themeColor="text1"/>
        </w:rPr>
        <w:t>32. En premier lieu, c'est à tort qu'elle a considéré que le seul manquement de la banque aux obligations de vigilance, imposées par les articles L. 561-5 à L. 561-10-2 du code monétaire et financier, constitue un concours apporté à une opération de blanchiment du produit des infractions commises par son client. </w:t>
      </w:r>
    </w:p>
    <w:p w14:paraId="40617469" w14:textId="77777777" w:rsidR="00BD5295" w:rsidRPr="00363419" w:rsidRDefault="00BD5295" w:rsidP="00BD5295">
      <w:pPr>
        <w:jc w:val="both"/>
        <w:rPr>
          <w:color w:val="000000" w:themeColor="text1"/>
        </w:rPr>
      </w:pPr>
    </w:p>
    <w:p w14:paraId="75BBB303" w14:textId="77777777" w:rsidR="00BD5295" w:rsidRPr="00363419" w:rsidRDefault="00BD5295" w:rsidP="00BD5295">
      <w:pPr>
        <w:jc w:val="both"/>
        <w:rPr>
          <w:color w:val="000000" w:themeColor="text1"/>
        </w:rPr>
      </w:pPr>
      <w:r w:rsidRPr="00363419">
        <w:rPr>
          <w:color w:val="000000" w:themeColor="text1"/>
        </w:rPr>
        <w:t>33. Pour autant, l'arrêt n'encourt pas la censure de ce chef dès lors que la mise à disposition d'un compte bancaire dans l'un de ses établissements et l'exécution d'ordres de virement des sommes y figurant vers des comptes à l'étranger, tels que constatés par l'arrêt, sont susceptibles de caractériser la participation de la banque à des opérations de blanchiment. </w:t>
      </w:r>
    </w:p>
    <w:p w14:paraId="3CCF763F" w14:textId="77777777" w:rsidR="00BD5295" w:rsidRPr="00363419" w:rsidRDefault="00BD5295" w:rsidP="00BD5295">
      <w:pPr>
        <w:jc w:val="both"/>
        <w:rPr>
          <w:color w:val="000000" w:themeColor="text1"/>
        </w:rPr>
      </w:pPr>
    </w:p>
    <w:p w14:paraId="7DF827F9" w14:textId="77777777" w:rsidR="00BD5295" w:rsidRPr="00363419" w:rsidRDefault="00BD5295" w:rsidP="00BD5295">
      <w:pPr>
        <w:jc w:val="both"/>
        <w:rPr>
          <w:color w:val="000000" w:themeColor="text1"/>
        </w:rPr>
      </w:pPr>
      <w:r w:rsidRPr="00363419">
        <w:rPr>
          <w:color w:val="000000" w:themeColor="text1"/>
        </w:rPr>
        <w:t>34. En deuxième lieu, les juges, qui, par des motifs relevant de leur appréciation souveraine, ont considéré qu'en l'espèce, au regard des informations dont elle disposait à compter de 2012 concernant le fonctionnement du compte litigieux, la banque ne pouvait ignorer l'origine frauduleuse des fonds figurant sur les comptes de la société [8], ont caractérisé l'élément moral du délit de blanchiment.</w:t>
      </w:r>
    </w:p>
    <w:p w14:paraId="34227A89" w14:textId="77777777" w:rsidR="00BD5295" w:rsidRPr="00363419" w:rsidRDefault="00BD5295" w:rsidP="00BD5295">
      <w:pPr>
        <w:jc w:val="both"/>
        <w:rPr>
          <w:color w:val="000000" w:themeColor="text1"/>
        </w:rPr>
      </w:pPr>
    </w:p>
    <w:p w14:paraId="29C3B602" w14:textId="77777777" w:rsidR="00BD5295" w:rsidRPr="00363419" w:rsidRDefault="00BD5295" w:rsidP="00BD5295">
      <w:pPr>
        <w:jc w:val="both"/>
        <w:rPr>
          <w:color w:val="000000" w:themeColor="text1"/>
        </w:rPr>
      </w:pPr>
      <w:r w:rsidRPr="00363419">
        <w:rPr>
          <w:color w:val="000000" w:themeColor="text1"/>
        </w:rPr>
        <w:t>35. En troisième lieu, la cour d'appel, qui a constaté que, malgré cette connaissance, la banque et ses représentants n'ont pas fait en temps et en heure les déclarations de soupçon exigées, a, à bon droit, écarté la cause d'irresponsabilité pénale prévue par l'article L. 561-22, IV, du code monétaire et financier, qui instaure une immunité pénale pour les personnes ayant fait de bonne foi la déclaration prévue à l'article L.561-15 du même code. </w:t>
      </w:r>
    </w:p>
    <w:p w14:paraId="542A3534" w14:textId="77777777" w:rsidR="00BD5295" w:rsidRPr="00363419" w:rsidRDefault="00BD5295" w:rsidP="00BD5295">
      <w:pPr>
        <w:jc w:val="both"/>
        <w:rPr>
          <w:color w:val="000000" w:themeColor="text1"/>
        </w:rPr>
      </w:pPr>
    </w:p>
    <w:p w14:paraId="7247FADB" w14:textId="77777777" w:rsidR="00BD5295" w:rsidRPr="00363419" w:rsidRDefault="00BD5295" w:rsidP="00BD5295">
      <w:pPr>
        <w:jc w:val="both"/>
        <w:rPr>
          <w:color w:val="000000" w:themeColor="text1"/>
        </w:rPr>
      </w:pPr>
      <w:r w:rsidRPr="00363419">
        <w:rPr>
          <w:color w:val="000000" w:themeColor="text1"/>
        </w:rPr>
        <w:t>36. Ainsi, le moyen doit être écarté.</w:t>
      </w:r>
    </w:p>
    <w:p w14:paraId="4E6FA423" w14:textId="77777777" w:rsidR="00BD5295" w:rsidRPr="00363419" w:rsidRDefault="00BD5295" w:rsidP="00BD5295">
      <w:pPr>
        <w:jc w:val="both"/>
        <w:rPr>
          <w:color w:val="000000" w:themeColor="text1"/>
        </w:rPr>
      </w:pPr>
    </w:p>
    <w:p w14:paraId="2BF8A0DE" w14:textId="77777777" w:rsidR="00BD5295" w:rsidRPr="00363419" w:rsidRDefault="00BD5295" w:rsidP="00BD5295">
      <w:pPr>
        <w:jc w:val="both"/>
        <w:rPr>
          <w:color w:val="000000" w:themeColor="text1"/>
        </w:rPr>
      </w:pPr>
      <w:r w:rsidRPr="00363419">
        <w:rPr>
          <w:color w:val="000000" w:themeColor="text1"/>
        </w:rPr>
        <w:t>(…)</w:t>
      </w:r>
    </w:p>
    <w:p w14:paraId="7C40296E" w14:textId="77777777" w:rsidR="00BD5295" w:rsidRPr="00363419" w:rsidRDefault="00BD5295" w:rsidP="00BD5295">
      <w:pPr>
        <w:jc w:val="both"/>
        <w:rPr>
          <w:b/>
          <w:color w:val="000000" w:themeColor="text1"/>
        </w:rPr>
      </w:pPr>
    </w:p>
    <w:p w14:paraId="4482576C" w14:textId="77777777" w:rsidR="00366F3D" w:rsidRPr="00363419" w:rsidRDefault="00366F3D">
      <w:pPr>
        <w:jc w:val="both"/>
        <w:rPr>
          <w:color w:val="000000" w:themeColor="text1"/>
        </w:rPr>
      </w:pPr>
    </w:p>
    <w:sectPr w:rsidR="00366F3D" w:rsidRPr="00363419" w:rsidSect="00B9023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C4DD27" w14:textId="77777777" w:rsidR="000D0D3F" w:rsidRDefault="000D0D3F" w:rsidP="00366F3D">
      <w:r>
        <w:separator/>
      </w:r>
    </w:p>
  </w:endnote>
  <w:endnote w:type="continuationSeparator" w:id="0">
    <w:p w14:paraId="6F719F3E" w14:textId="77777777" w:rsidR="000D0D3F" w:rsidRDefault="000D0D3F" w:rsidP="00366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91C628" w14:textId="77777777" w:rsidR="000D0D3F" w:rsidRDefault="000D0D3F" w:rsidP="00366F3D">
      <w:r>
        <w:separator/>
      </w:r>
    </w:p>
  </w:footnote>
  <w:footnote w:type="continuationSeparator" w:id="0">
    <w:p w14:paraId="2169CA69" w14:textId="77777777" w:rsidR="000D0D3F" w:rsidRDefault="000D0D3F" w:rsidP="00366F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F2722C1"/>
    <w:multiLevelType w:val="multilevel"/>
    <w:tmpl w:val="E6AE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1F7D17"/>
    <w:multiLevelType w:val="multilevel"/>
    <w:tmpl w:val="66E60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1139105">
    <w:abstractNumId w:val="1"/>
  </w:num>
  <w:num w:numId="2" w16cid:durableId="28897446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DB1"/>
    <w:rsid w:val="00004E61"/>
    <w:rsid w:val="00045976"/>
    <w:rsid w:val="000463CF"/>
    <w:rsid w:val="000758CC"/>
    <w:rsid w:val="000B2606"/>
    <w:rsid w:val="000B67C6"/>
    <w:rsid w:val="000B7FBA"/>
    <w:rsid w:val="000C0E8B"/>
    <w:rsid w:val="000D0D3F"/>
    <w:rsid w:val="000D353A"/>
    <w:rsid w:val="00124B22"/>
    <w:rsid w:val="00127CE2"/>
    <w:rsid w:val="001611D9"/>
    <w:rsid w:val="001753D8"/>
    <w:rsid w:val="00196B47"/>
    <w:rsid w:val="001A4D90"/>
    <w:rsid w:val="001C5F0F"/>
    <w:rsid w:val="001F1405"/>
    <w:rsid w:val="00204DBA"/>
    <w:rsid w:val="00250B39"/>
    <w:rsid w:val="0026166F"/>
    <w:rsid w:val="00311170"/>
    <w:rsid w:val="00334035"/>
    <w:rsid w:val="00363419"/>
    <w:rsid w:val="00366F3D"/>
    <w:rsid w:val="0038568F"/>
    <w:rsid w:val="003953B4"/>
    <w:rsid w:val="003E54E2"/>
    <w:rsid w:val="003F4650"/>
    <w:rsid w:val="0042343A"/>
    <w:rsid w:val="00442A42"/>
    <w:rsid w:val="00483E15"/>
    <w:rsid w:val="004941B6"/>
    <w:rsid w:val="004A107D"/>
    <w:rsid w:val="004F2D24"/>
    <w:rsid w:val="0054377C"/>
    <w:rsid w:val="00566EFA"/>
    <w:rsid w:val="00570467"/>
    <w:rsid w:val="00610230"/>
    <w:rsid w:val="00610E71"/>
    <w:rsid w:val="006453BF"/>
    <w:rsid w:val="006B48D3"/>
    <w:rsid w:val="006E18F0"/>
    <w:rsid w:val="006E79ED"/>
    <w:rsid w:val="00713CC7"/>
    <w:rsid w:val="0074470F"/>
    <w:rsid w:val="007517C8"/>
    <w:rsid w:val="00753C06"/>
    <w:rsid w:val="00786DAB"/>
    <w:rsid w:val="007B4665"/>
    <w:rsid w:val="007D12FC"/>
    <w:rsid w:val="007E1F2E"/>
    <w:rsid w:val="00811232"/>
    <w:rsid w:val="0082472D"/>
    <w:rsid w:val="00826422"/>
    <w:rsid w:val="008B6064"/>
    <w:rsid w:val="008D3BF9"/>
    <w:rsid w:val="008D4F16"/>
    <w:rsid w:val="009032B2"/>
    <w:rsid w:val="00905DA6"/>
    <w:rsid w:val="00914BCA"/>
    <w:rsid w:val="00976CC9"/>
    <w:rsid w:val="00977442"/>
    <w:rsid w:val="00987A97"/>
    <w:rsid w:val="009A5738"/>
    <w:rsid w:val="009D06C5"/>
    <w:rsid w:val="009E1439"/>
    <w:rsid w:val="009F5DFE"/>
    <w:rsid w:val="00A258F8"/>
    <w:rsid w:val="00A31F92"/>
    <w:rsid w:val="00A36474"/>
    <w:rsid w:val="00AE598F"/>
    <w:rsid w:val="00B063B2"/>
    <w:rsid w:val="00B127BE"/>
    <w:rsid w:val="00B12957"/>
    <w:rsid w:val="00B22605"/>
    <w:rsid w:val="00B74D11"/>
    <w:rsid w:val="00B8231B"/>
    <w:rsid w:val="00B90231"/>
    <w:rsid w:val="00BB639B"/>
    <w:rsid w:val="00BC0544"/>
    <w:rsid w:val="00BD5295"/>
    <w:rsid w:val="00C01264"/>
    <w:rsid w:val="00C0629B"/>
    <w:rsid w:val="00C50DD8"/>
    <w:rsid w:val="00C51261"/>
    <w:rsid w:val="00C875C9"/>
    <w:rsid w:val="00C87DEA"/>
    <w:rsid w:val="00C96A8E"/>
    <w:rsid w:val="00CB5F0C"/>
    <w:rsid w:val="00CC7717"/>
    <w:rsid w:val="00CD285D"/>
    <w:rsid w:val="00CF5CDA"/>
    <w:rsid w:val="00D15AB8"/>
    <w:rsid w:val="00D24C8B"/>
    <w:rsid w:val="00D256FB"/>
    <w:rsid w:val="00D85DB1"/>
    <w:rsid w:val="00D85F90"/>
    <w:rsid w:val="00D928B9"/>
    <w:rsid w:val="00DB3E0E"/>
    <w:rsid w:val="00DC4413"/>
    <w:rsid w:val="00E11665"/>
    <w:rsid w:val="00E13FA0"/>
    <w:rsid w:val="00E211A3"/>
    <w:rsid w:val="00E70706"/>
    <w:rsid w:val="00E74AD4"/>
    <w:rsid w:val="00E92382"/>
    <w:rsid w:val="00E929EE"/>
    <w:rsid w:val="00E954D5"/>
    <w:rsid w:val="00EF6C91"/>
    <w:rsid w:val="00F23B4B"/>
    <w:rsid w:val="00F50017"/>
    <w:rsid w:val="00F71376"/>
    <w:rsid w:val="00F807FF"/>
    <w:rsid w:val="00F915D8"/>
    <w:rsid w:val="00F9685A"/>
    <w:rsid w:val="00FA2BF5"/>
    <w:rsid w:val="00FA5E6A"/>
    <w:rsid w:val="00FB59F4"/>
    <w:rsid w:val="00FD07A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0910BF1E"/>
  <w14:defaultImageDpi w14:val="32767"/>
  <w15:chartTrackingRefBased/>
  <w15:docId w15:val="{C1169224-2D93-DB4D-8F80-9C4D050BE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10E71"/>
    <w:rPr>
      <w:rFonts w:ascii="Times New Roman" w:eastAsia="Times New Roman" w:hAnsi="Times New Roman" w:cs="Times New Roman"/>
      <w:lang w:eastAsia="fr-FR"/>
    </w:rPr>
  </w:style>
  <w:style w:type="paragraph" w:styleId="Titre1">
    <w:name w:val="heading 1"/>
    <w:basedOn w:val="Normal"/>
    <w:link w:val="Titre1Car"/>
    <w:uiPriority w:val="9"/>
    <w:qFormat/>
    <w:rsid w:val="00D85DB1"/>
    <w:pPr>
      <w:spacing w:before="100" w:beforeAutospacing="1" w:after="100" w:afterAutospacing="1"/>
      <w:outlineLvl w:val="0"/>
    </w:pPr>
    <w:rPr>
      <w:b/>
      <w:bCs/>
      <w:kern w:val="36"/>
      <w:sz w:val="48"/>
      <w:szCs w:val="48"/>
    </w:rPr>
  </w:style>
  <w:style w:type="paragraph" w:styleId="Titre2">
    <w:name w:val="heading 2"/>
    <w:basedOn w:val="Normal"/>
    <w:link w:val="Titre2Car"/>
    <w:uiPriority w:val="9"/>
    <w:qFormat/>
    <w:rsid w:val="00D85DB1"/>
    <w:pPr>
      <w:spacing w:before="100" w:beforeAutospacing="1" w:after="100" w:afterAutospacing="1"/>
      <w:outlineLvl w:val="1"/>
    </w:pPr>
    <w:rPr>
      <w:b/>
      <w:bCs/>
      <w:sz w:val="36"/>
      <w:szCs w:val="36"/>
    </w:rPr>
  </w:style>
  <w:style w:type="paragraph" w:styleId="Titre3">
    <w:name w:val="heading 3"/>
    <w:basedOn w:val="Normal"/>
    <w:link w:val="Titre3Car"/>
    <w:uiPriority w:val="9"/>
    <w:qFormat/>
    <w:rsid w:val="00D85DB1"/>
    <w:pPr>
      <w:spacing w:before="100" w:beforeAutospacing="1" w:after="100" w:afterAutospacing="1"/>
      <w:outlineLvl w:val="2"/>
    </w:pPr>
    <w:rPr>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D85DB1"/>
    <w:pPr>
      <w:spacing w:before="100" w:beforeAutospacing="1" w:after="100" w:afterAutospacing="1"/>
    </w:pPr>
  </w:style>
  <w:style w:type="character" w:styleId="lev">
    <w:name w:val="Strong"/>
    <w:basedOn w:val="Policepardfaut"/>
    <w:uiPriority w:val="22"/>
    <w:qFormat/>
    <w:rsid w:val="00D85DB1"/>
    <w:rPr>
      <w:b/>
      <w:bCs/>
    </w:rPr>
  </w:style>
  <w:style w:type="character" w:customStyle="1" w:styleId="apple-converted-space">
    <w:name w:val="apple-converted-space"/>
    <w:basedOn w:val="Policepardfaut"/>
    <w:rsid w:val="00D85DB1"/>
  </w:style>
  <w:style w:type="paragraph" w:customStyle="1" w:styleId="name-article">
    <w:name w:val="name-article"/>
    <w:basedOn w:val="Normal"/>
    <w:rsid w:val="00D85DB1"/>
    <w:pPr>
      <w:spacing w:before="100" w:beforeAutospacing="1" w:after="100" w:afterAutospacing="1"/>
    </w:pPr>
  </w:style>
  <w:style w:type="character" w:styleId="Lienhypertexte">
    <w:name w:val="Hyperlink"/>
    <w:basedOn w:val="Policepardfaut"/>
    <w:uiPriority w:val="99"/>
    <w:semiHidden/>
    <w:unhideWhenUsed/>
    <w:rsid w:val="00D85DB1"/>
    <w:rPr>
      <w:color w:val="0000FF"/>
      <w:u w:val="single"/>
    </w:rPr>
  </w:style>
  <w:style w:type="paragraph" w:customStyle="1" w:styleId="Date1">
    <w:name w:val="Date1"/>
    <w:basedOn w:val="Normal"/>
    <w:rsid w:val="00D85DB1"/>
    <w:pPr>
      <w:spacing w:before="100" w:beforeAutospacing="1" w:after="100" w:afterAutospacing="1"/>
    </w:pPr>
  </w:style>
  <w:style w:type="character" w:customStyle="1" w:styleId="Titre1Car">
    <w:name w:val="Titre 1 Car"/>
    <w:basedOn w:val="Policepardfaut"/>
    <w:link w:val="Titre1"/>
    <w:uiPriority w:val="9"/>
    <w:rsid w:val="00D85DB1"/>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D85DB1"/>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D85DB1"/>
    <w:rPr>
      <w:rFonts w:ascii="Times New Roman" w:eastAsia="Times New Roman" w:hAnsi="Times New Roman" w:cs="Times New Roman"/>
      <w:b/>
      <w:bCs/>
      <w:sz w:val="27"/>
      <w:szCs w:val="27"/>
      <w:lang w:eastAsia="fr-FR"/>
    </w:rPr>
  </w:style>
  <w:style w:type="paragraph" w:customStyle="1" w:styleId="margintopbottom7">
    <w:name w:val="margintopbottom7"/>
    <w:basedOn w:val="Normal"/>
    <w:rsid w:val="00D85DB1"/>
    <w:pPr>
      <w:spacing w:before="100" w:beforeAutospacing="1" w:after="100" w:afterAutospacing="1"/>
    </w:pPr>
  </w:style>
  <w:style w:type="paragraph" w:customStyle="1" w:styleId="margintopbottom14">
    <w:name w:val="margintopbottom14"/>
    <w:basedOn w:val="Normal"/>
    <w:rsid w:val="00D85DB1"/>
    <w:pPr>
      <w:spacing w:before="100" w:beforeAutospacing="1" w:after="100" w:afterAutospacing="1"/>
    </w:pPr>
  </w:style>
  <w:style w:type="character" w:customStyle="1" w:styleId="highlight">
    <w:name w:val="highlight"/>
    <w:basedOn w:val="Policepardfaut"/>
    <w:rsid w:val="00D85DB1"/>
  </w:style>
  <w:style w:type="paragraph" w:styleId="Paragraphedeliste">
    <w:name w:val="List Paragraph"/>
    <w:basedOn w:val="Normal"/>
    <w:uiPriority w:val="34"/>
    <w:qFormat/>
    <w:rsid w:val="0042343A"/>
    <w:pPr>
      <w:ind w:left="720"/>
      <w:contextualSpacing/>
    </w:pPr>
  </w:style>
  <w:style w:type="paragraph" w:customStyle="1" w:styleId="c01pointnumerotealtn">
    <w:name w:val="c01pointnumerotealtn"/>
    <w:basedOn w:val="Normal"/>
    <w:rsid w:val="0042343A"/>
    <w:pPr>
      <w:spacing w:before="100" w:beforeAutospacing="1" w:after="100" w:afterAutospacing="1"/>
    </w:pPr>
  </w:style>
  <w:style w:type="paragraph" w:customStyle="1" w:styleId="c04titre1">
    <w:name w:val="c04titre1"/>
    <w:basedOn w:val="Normal"/>
    <w:rsid w:val="0042343A"/>
    <w:pPr>
      <w:spacing w:before="100" w:beforeAutospacing="1" w:after="100" w:afterAutospacing="1"/>
    </w:pPr>
  </w:style>
  <w:style w:type="paragraph" w:customStyle="1" w:styleId="c05titre2">
    <w:name w:val="c05titre2"/>
    <w:basedOn w:val="Normal"/>
    <w:rsid w:val="0042343A"/>
    <w:pPr>
      <w:spacing w:before="100" w:beforeAutospacing="1" w:after="100" w:afterAutospacing="1"/>
    </w:pPr>
  </w:style>
  <w:style w:type="paragraph" w:customStyle="1" w:styleId="c02alineaalta">
    <w:name w:val="c02alineaalta"/>
    <w:basedOn w:val="Normal"/>
    <w:rsid w:val="0042343A"/>
    <w:pPr>
      <w:spacing w:before="100" w:beforeAutospacing="1" w:after="100" w:afterAutospacing="1"/>
    </w:pPr>
  </w:style>
  <w:style w:type="paragraph" w:customStyle="1" w:styleId="c09marge0avecretrait">
    <w:name w:val="c09marge0avecretrait"/>
    <w:basedOn w:val="Normal"/>
    <w:rsid w:val="0042343A"/>
    <w:pPr>
      <w:spacing w:before="100" w:beforeAutospacing="1" w:after="100" w:afterAutospacing="1"/>
    </w:pPr>
  </w:style>
  <w:style w:type="paragraph" w:customStyle="1" w:styleId="c41dispositifintroduction">
    <w:name w:val="c41dispositifintroduction"/>
    <w:basedOn w:val="Normal"/>
    <w:rsid w:val="0042343A"/>
    <w:pPr>
      <w:spacing w:before="100" w:beforeAutospacing="1" w:after="100" w:afterAutospacing="1"/>
    </w:pPr>
  </w:style>
  <w:style w:type="paragraph" w:customStyle="1" w:styleId="c08dispositif">
    <w:name w:val="c08dispositif"/>
    <w:basedOn w:val="Normal"/>
    <w:rsid w:val="0042343A"/>
    <w:pPr>
      <w:spacing w:before="100" w:beforeAutospacing="1" w:after="100" w:afterAutospacing="1"/>
    </w:pPr>
  </w:style>
  <w:style w:type="paragraph" w:styleId="Textedebulles">
    <w:name w:val="Balloon Text"/>
    <w:basedOn w:val="Normal"/>
    <w:link w:val="TextedebullesCar"/>
    <w:uiPriority w:val="99"/>
    <w:semiHidden/>
    <w:unhideWhenUsed/>
    <w:rsid w:val="006E79ED"/>
    <w:rPr>
      <w:sz w:val="18"/>
      <w:szCs w:val="18"/>
    </w:rPr>
  </w:style>
  <w:style w:type="character" w:customStyle="1" w:styleId="TextedebullesCar">
    <w:name w:val="Texte de bulles Car"/>
    <w:basedOn w:val="Policepardfaut"/>
    <w:link w:val="Textedebulles"/>
    <w:uiPriority w:val="99"/>
    <w:semiHidden/>
    <w:rsid w:val="006E79ED"/>
    <w:rPr>
      <w:rFonts w:ascii="Times New Roman" w:eastAsia="Times New Roman" w:hAnsi="Times New Roman" w:cs="Times New Roman"/>
      <w:sz w:val="18"/>
      <w:szCs w:val="18"/>
      <w:lang w:eastAsia="fr-FR"/>
    </w:rPr>
  </w:style>
  <w:style w:type="paragraph" w:styleId="Retraitcorpsdetexte">
    <w:name w:val="Body Text Indent"/>
    <w:basedOn w:val="Normal"/>
    <w:link w:val="RetraitcorpsdetexteCar"/>
    <w:rsid w:val="00483E15"/>
    <w:pPr>
      <w:ind w:firstLine="567"/>
    </w:pPr>
  </w:style>
  <w:style w:type="character" w:customStyle="1" w:styleId="RetraitcorpsdetexteCar">
    <w:name w:val="Retrait corps de texte Car"/>
    <w:basedOn w:val="Policepardfaut"/>
    <w:link w:val="Retraitcorpsdetexte"/>
    <w:rsid w:val="00483E15"/>
    <w:rPr>
      <w:rFonts w:ascii="Times New Roman" w:eastAsia="Times New Roman" w:hAnsi="Times New Roman" w:cs="Times New Roman"/>
      <w:lang w:eastAsia="fr-FR"/>
    </w:rPr>
  </w:style>
  <w:style w:type="paragraph" w:customStyle="1" w:styleId="h4-like">
    <w:name w:val="h4-like"/>
    <w:basedOn w:val="Normal"/>
    <w:rsid w:val="004941B6"/>
    <w:pPr>
      <w:spacing w:before="100" w:beforeAutospacing="1" w:after="100" w:afterAutospacing="1"/>
    </w:pPr>
  </w:style>
  <w:style w:type="paragraph" w:customStyle="1" w:styleId="tags">
    <w:name w:val="tags"/>
    <w:basedOn w:val="Normal"/>
    <w:rsid w:val="004941B6"/>
    <w:pPr>
      <w:spacing w:before="100" w:beforeAutospacing="1" w:after="100" w:afterAutospacing="1"/>
    </w:pPr>
  </w:style>
  <w:style w:type="paragraph" w:customStyle="1" w:styleId="decision-accordeon--contenu">
    <w:name w:val="decision-accordeon--contenu"/>
    <w:basedOn w:val="Normal"/>
    <w:rsid w:val="004941B6"/>
    <w:pPr>
      <w:spacing w:before="100" w:beforeAutospacing="1" w:after="100" w:afterAutospacing="1"/>
    </w:pPr>
  </w:style>
  <w:style w:type="paragraph" w:customStyle="1" w:styleId="parafact">
    <w:name w:val="parafact"/>
    <w:basedOn w:val="Normal"/>
    <w:rsid w:val="00566EFA"/>
    <w:pPr>
      <w:spacing w:before="100" w:beforeAutospacing="1" w:after="100" w:afterAutospacing="1"/>
    </w:pPr>
  </w:style>
  <w:style w:type="character" w:customStyle="1" w:styleId="selected">
    <w:name w:val="selected"/>
    <w:basedOn w:val="Policepardfaut"/>
    <w:rsid w:val="00566EFA"/>
  </w:style>
  <w:style w:type="character" w:customStyle="1" w:styleId="srvrlnk">
    <w:name w:val="srvrlnk"/>
    <w:basedOn w:val="Policepardfaut"/>
    <w:rsid w:val="00566EFA"/>
  </w:style>
  <w:style w:type="character" w:customStyle="1" w:styleId="link">
    <w:name w:val="link"/>
    <w:basedOn w:val="Policepardfaut"/>
    <w:rsid w:val="00566EFA"/>
  </w:style>
  <w:style w:type="paragraph" w:customStyle="1" w:styleId="paramotif">
    <w:name w:val="paramotif"/>
    <w:basedOn w:val="Normal"/>
    <w:rsid w:val="000C0E8B"/>
    <w:pPr>
      <w:spacing w:before="100" w:beforeAutospacing="1" w:after="100" w:afterAutospacing="1"/>
    </w:pPr>
  </w:style>
  <w:style w:type="paragraph" w:customStyle="1" w:styleId="paraorder">
    <w:name w:val="paraorder"/>
    <w:basedOn w:val="Normal"/>
    <w:rsid w:val="000C0E8B"/>
    <w:pPr>
      <w:spacing w:before="100" w:beforeAutospacing="1" w:after="100" w:afterAutospacing="1"/>
    </w:pPr>
  </w:style>
  <w:style w:type="paragraph" w:styleId="Notedebasdepage">
    <w:name w:val="footnote text"/>
    <w:aliases w:val="Footnote Text Char Char Char Char,Footnote Text Char Char Char,Footnotes,Note de bas de page2,footnote text,Texte de note de bas de page,Note de bas de page Car Car,Texte de note de bas de page ,Note de bas de page Car Car Car Car"/>
    <w:basedOn w:val="Normal"/>
    <w:link w:val="NotedebasdepageCar"/>
    <w:uiPriority w:val="99"/>
    <w:unhideWhenUsed/>
    <w:qFormat/>
    <w:rsid w:val="00366F3D"/>
    <w:rPr>
      <w:sz w:val="20"/>
      <w:szCs w:val="20"/>
    </w:rPr>
  </w:style>
  <w:style w:type="character" w:customStyle="1" w:styleId="NotedebasdepageCar">
    <w:name w:val="Note de bas de page Car"/>
    <w:aliases w:val="Footnote Text Char Char Char Char Car,Footnote Text Char Char Char Car,Footnotes Car,Note de bas de page2 Car,footnote text Car,Texte de note de bas de page Car,Note de bas de page Car Car Car,Texte de note de bas de page  Car"/>
    <w:basedOn w:val="Policepardfaut"/>
    <w:link w:val="Notedebasdepage"/>
    <w:uiPriority w:val="99"/>
    <w:qFormat/>
    <w:rsid w:val="00366F3D"/>
    <w:rPr>
      <w:rFonts w:ascii="Times New Roman" w:eastAsia="Times New Roman" w:hAnsi="Times New Roman" w:cs="Times New Roman"/>
      <w:sz w:val="20"/>
      <w:szCs w:val="20"/>
      <w:lang w:eastAsia="fr-FR"/>
    </w:rPr>
  </w:style>
  <w:style w:type="character" w:styleId="Appelnotedebasdep">
    <w:name w:val="footnote reference"/>
    <w:aliases w:val="Appel note de bas de page,fr,Footnote Reference Number,Footnote Reference_LVL6,Footnote Reference_LVL61,Footnote Reference_LVL62,Footnote Reference_LVL63,Footnote Reference_LVL64,Footnote number,Footnote symbol,o,Ref,BVI fnr,FZ"/>
    <w:basedOn w:val="Policepardfaut"/>
    <w:uiPriority w:val="99"/>
    <w:unhideWhenUsed/>
    <w:qFormat/>
    <w:rsid w:val="00366F3D"/>
    <w:rPr>
      <w:vertAlign w:val="superscript"/>
    </w:rPr>
  </w:style>
  <w:style w:type="character" w:customStyle="1" w:styleId="margintop14">
    <w:name w:val="margintop14"/>
    <w:basedOn w:val="Policepardfaut"/>
    <w:rsid w:val="00366F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1005013">
      <w:bodyDiv w:val="1"/>
      <w:marLeft w:val="0"/>
      <w:marRight w:val="0"/>
      <w:marTop w:val="0"/>
      <w:marBottom w:val="0"/>
      <w:divBdr>
        <w:top w:val="none" w:sz="0" w:space="0" w:color="auto"/>
        <w:left w:val="none" w:sz="0" w:space="0" w:color="auto"/>
        <w:bottom w:val="none" w:sz="0" w:space="0" w:color="auto"/>
        <w:right w:val="none" w:sz="0" w:space="0" w:color="auto"/>
      </w:divBdr>
    </w:div>
    <w:div w:id="56978145">
      <w:bodyDiv w:val="1"/>
      <w:marLeft w:val="0"/>
      <w:marRight w:val="0"/>
      <w:marTop w:val="0"/>
      <w:marBottom w:val="0"/>
      <w:divBdr>
        <w:top w:val="none" w:sz="0" w:space="0" w:color="auto"/>
        <w:left w:val="none" w:sz="0" w:space="0" w:color="auto"/>
        <w:bottom w:val="none" w:sz="0" w:space="0" w:color="auto"/>
        <w:right w:val="none" w:sz="0" w:space="0" w:color="auto"/>
      </w:divBdr>
    </w:div>
    <w:div w:id="58096706">
      <w:bodyDiv w:val="1"/>
      <w:marLeft w:val="0"/>
      <w:marRight w:val="0"/>
      <w:marTop w:val="0"/>
      <w:marBottom w:val="0"/>
      <w:divBdr>
        <w:top w:val="none" w:sz="0" w:space="0" w:color="auto"/>
        <w:left w:val="none" w:sz="0" w:space="0" w:color="auto"/>
        <w:bottom w:val="none" w:sz="0" w:space="0" w:color="auto"/>
        <w:right w:val="none" w:sz="0" w:space="0" w:color="auto"/>
      </w:divBdr>
    </w:div>
    <w:div w:id="65109420">
      <w:bodyDiv w:val="1"/>
      <w:marLeft w:val="0"/>
      <w:marRight w:val="0"/>
      <w:marTop w:val="0"/>
      <w:marBottom w:val="0"/>
      <w:divBdr>
        <w:top w:val="none" w:sz="0" w:space="0" w:color="auto"/>
        <w:left w:val="none" w:sz="0" w:space="0" w:color="auto"/>
        <w:bottom w:val="none" w:sz="0" w:space="0" w:color="auto"/>
        <w:right w:val="none" w:sz="0" w:space="0" w:color="auto"/>
      </w:divBdr>
    </w:div>
    <w:div w:id="86078348">
      <w:bodyDiv w:val="1"/>
      <w:marLeft w:val="0"/>
      <w:marRight w:val="0"/>
      <w:marTop w:val="0"/>
      <w:marBottom w:val="0"/>
      <w:divBdr>
        <w:top w:val="none" w:sz="0" w:space="0" w:color="auto"/>
        <w:left w:val="none" w:sz="0" w:space="0" w:color="auto"/>
        <w:bottom w:val="none" w:sz="0" w:space="0" w:color="auto"/>
        <w:right w:val="none" w:sz="0" w:space="0" w:color="auto"/>
      </w:divBdr>
    </w:div>
    <w:div w:id="89545445">
      <w:bodyDiv w:val="1"/>
      <w:marLeft w:val="0"/>
      <w:marRight w:val="0"/>
      <w:marTop w:val="0"/>
      <w:marBottom w:val="0"/>
      <w:divBdr>
        <w:top w:val="none" w:sz="0" w:space="0" w:color="auto"/>
        <w:left w:val="none" w:sz="0" w:space="0" w:color="auto"/>
        <w:bottom w:val="none" w:sz="0" w:space="0" w:color="auto"/>
        <w:right w:val="none" w:sz="0" w:space="0" w:color="auto"/>
      </w:divBdr>
    </w:div>
    <w:div w:id="102919144">
      <w:bodyDiv w:val="1"/>
      <w:marLeft w:val="0"/>
      <w:marRight w:val="0"/>
      <w:marTop w:val="0"/>
      <w:marBottom w:val="0"/>
      <w:divBdr>
        <w:top w:val="none" w:sz="0" w:space="0" w:color="auto"/>
        <w:left w:val="none" w:sz="0" w:space="0" w:color="auto"/>
        <w:bottom w:val="none" w:sz="0" w:space="0" w:color="auto"/>
        <w:right w:val="none" w:sz="0" w:space="0" w:color="auto"/>
      </w:divBdr>
      <w:divsChild>
        <w:div w:id="1031809775">
          <w:marLeft w:val="0"/>
          <w:marRight w:val="0"/>
          <w:marTop w:val="480"/>
          <w:marBottom w:val="0"/>
          <w:divBdr>
            <w:top w:val="none" w:sz="0" w:space="0" w:color="auto"/>
            <w:left w:val="none" w:sz="0" w:space="0" w:color="auto"/>
            <w:bottom w:val="none" w:sz="0" w:space="0" w:color="auto"/>
            <w:right w:val="none" w:sz="0" w:space="0" w:color="auto"/>
          </w:divBdr>
        </w:div>
        <w:div w:id="593518061">
          <w:marLeft w:val="0"/>
          <w:marRight w:val="0"/>
          <w:marTop w:val="480"/>
          <w:marBottom w:val="0"/>
          <w:divBdr>
            <w:top w:val="none" w:sz="0" w:space="0" w:color="auto"/>
            <w:left w:val="none" w:sz="0" w:space="0" w:color="auto"/>
            <w:bottom w:val="none" w:sz="0" w:space="0" w:color="auto"/>
            <w:right w:val="none" w:sz="0" w:space="0" w:color="auto"/>
          </w:divBdr>
        </w:div>
        <w:div w:id="1662736650">
          <w:marLeft w:val="0"/>
          <w:marRight w:val="0"/>
          <w:marTop w:val="480"/>
          <w:marBottom w:val="0"/>
          <w:divBdr>
            <w:top w:val="none" w:sz="0" w:space="0" w:color="auto"/>
            <w:left w:val="none" w:sz="0" w:space="0" w:color="auto"/>
            <w:bottom w:val="none" w:sz="0" w:space="0" w:color="auto"/>
            <w:right w:val="none" w:sz="0" w:space="0" w:color="auto"/>
          </w:divBdr>
        </w:div>
      </w:divsChild>
    </w:div>
    <w:div w:id="114911290">
      <w:bodyDiv w:val="1"/>
      <w:marLeft w:val="0"/>
      <w:marRight w:val="0"/>
      <w:marTop w:val="0"/>
      <w:marBottom w:val="0"/>
      <w:divBdr>
        <w:top w:val="none" w:sz="0" w:space="0" w:color="auto"/>
        <w:left w:val="none" w:sz="0" w:space="0" w:color="auto"/>
        <w:bottom w:val="none" w:sz="0" w:space="0" w:color="auto"/>
        <w:right w:val="none" w:sz="0" w:space="0" w:color="auto"/>
      </w:divBdr>
    </w:div>
    <w:div w:id="157157961">
      <w:bodyDiv w:val="1"/>
      <w:marLeft w:val="0"/>
      <w:marRight w:val="0"/>
      <w:marTop w:val="0"/>
      <w:marBottom w:val="0"/>
      <w:divBdr>
        <w:top w:val="none" w:sz="0" w:space="0" w:color="auto"/>
        <w:left w:val="none" w:sz="0" w:space="0" w:color="auto"/>
        <w:bottom w:val="none" w:sz="0" w:space="0" w:color="auto"/>
        <w:right w:val="none" w:sz="0" w:space="0" w:color="auto"/>
      </w:divBdr>
    </w:div>
    <w:div w:id="214898238">
      <w:bodyDiv w:val="1"/>
      <w:marLeft w:val="0"/>
      <w:marRight w:val="0"/>
      <w:marTop w:val="0"/>
      <w:marBottom w:val="0"/>
      <w:divBdr>
        <w:top w:val="none" w:sz="0" w:space="0" w:color="auto"/>
        <w:left w:val="none" w:sz="0" w:space="0" w:color="auto"/>
        <w:bottom w:val="none" w:sz="0" w:space="0" w:color="auto"/>
        <w:right w:val="none" w:sz="0" w:space="0" w:color="auto"/>
      </w:divBdr>
      <w:divsChild>
        <w:div w:id="431052632">
          <w:marLeft w:val="0"/>
          <w:marRight w:val="0"/>
          <w:marTop w:val="0"/>
          <w:marBottom w:val="0"/>
          <w:divBdr>
            <w:top w:val="none" w:sz="0" w:space="0" w:color="auto"/>
            <w:left w:val="none" w:sz="0" w:space="0" w:color="auto"/>
            <w:bottom w:val="none" w:sz="0" w:space="0" w:color="auto"/>
            <w:right w:val="none" w:sz="0" w:space="0" w:color="auto"/>
          </w:divBdr>
        </w:div>
        <w:div w:id="1086458361">
          <w:marLeft w:val="0"/>
          <w:marRight w:val="0"/>
          <w:marTop w:val="0"/>
          <w:marBottom w:val="0"/>
          <w:divBdr>
            <w:top w:val="none" w:sz="0" w:space="0" w:color="auto"/>
            <w:left w:val="none" w:sz="0" w:space="0" w:color="auto"/>
            <w:bottom w:val="none" w:sz="0" w:space="0" w:color="auto"/>
            <w:right w:val="none" w:sz="0" w:space="0" w:color="auto"/>
          </w:divBdr>
        </w:div>
        <w:div w:id="705066230">
          <w:marLeft w:val="0"/>
          <w:marRight w:val="0"/>
          <w:marTop w:val="0"/>
          <w:marBottom w:val="0"/>
          <w:divBdr>
            <w:top w:val="none" w:sz="0" w:space="0" w:color="auto"/>
            <w:left w:val="none" w:sz="0" w:space="0" w:color="auto"/>
            <w:bottom w:val="none" w:sz="0" w:space="0" w:color="auto"/>
            <w:right w:val="none" w:sz="0" w:space="0" w:color="auto"/>
          </w:divBdr>
        </w:div>
        <w:div w:id="2111006494">
          <w:marLeft w:val="0"/>
          <w:marRight w:val="0"/>
          <w:marTop w:val="0"/>
          <w:marBottom w:val="0"/>
          <w:divBdr>
            <w:top w:val="none" w:sz="0" w:space="0" w:color="auto"/>
            <w:left w:val="none" w:sz="0" w:space="0" w:color="auto"/>
            <w:bottom w:val="none" w:sz="0" w:space="0" w:color="auto"/>
            <w:right w:val="none" w:sz="0" w:space="0" w:color="auto"/>
          </w:divBdr>
          <w:divsChild>
            <w:div w:id="977219865">
              <w:marLeft w:val="0"/>
              <w:marRight w:val="0"/>
              <w:marTop w:val="0"/>
              <w:marBottom w:val="0"/>
              <w:divBdr>
                <w:top w:val="none" w:sz="0" w:space="0" w:color="auto"/>
                <w:left w:val="none" w:sz="0" w:space="0" w:color="auto"/>
                <w:bottom w:val="none" w:sz="0" w:space="0" w:color="auto"/>
                <w:right w:val="none" w:sz="0" w:space="0" w:color="auto"/>
              </w:divBdr>
            </w:div>
            <w:div w:id="689261756">
              <w:marLeft w:val="0"/>
              <w:marRight w:val="0"/>
              <w:marTop w:val="0"/>
              <w:marBottom w:val="0"/>
              <w:divBdr>
                <w:top w:val="none" w:sz="0" w:space="0" w:color="auto"/>
                <w:left w:val="none" w:sz="0" w:space="0" w:color="auto"/>
                <w:bottom w:val="none" w:sz="0" w:space="0" w:color="auto"/>
                <w:right w:val="none" w:sz="0" w:space="0" w:color="auto"/>
              </w:divBdr>
            </w:div>
            <w:div w:id="1479566751">
              <w:marLeft w:val="0"/>
              <w:marRight w:val="0"/>
              <w:marTop w:val="0"/>
              <w:marBottom w:val="0"/>
              <w:divBdr>
                <w:top w:val="none" w:sz="0" w:space="0" w:color="auto"/>
                <w:left w:val="none" w:sz="0" w:space="0" w:color="auto"/>
                <w:bottom w:val="none" w:sz="0" w:space="0" w:color="auto"/>
                <w:right w:val="none" w:sz="0" w:space="0" w:color="auto"/>
              </w:divBdr>
            </w:div>
            <w:div w:id="640422324">
              <w:marLeft w:val="0"/>
              <w:marRight w:val="0"/>
              <w:marTop w:val="0"/>
              <w:marBottom w:val="0"/>
              <w:divBdr>
                <w:top w:val="none" w:sz="0" w:space="0" w:color="auto"/>
                <w:left w:val="none" w:sz="0" w:space="0" w:color="auto"/>
                <w:bottom w:val="none" w:sz="0" w:space="0" w:color="auto"/>
                <w:right w:val="none" w:sz="0" w:space="0" w:color="auto"/>
              </w:divBdr>
            </w:div>
            <w:div w:id="819619743">
              <w:marLeft w:val="0"/>
              <w:marRight w:val="0"/>
              <w:marTop w:val="0"/>
              <w:marBottom w:val="0"/>
              <w:divBdr>
                <w:top w:val="none" w:sz="0" w:space="0" w:color="auto"/>
                <w:left w:val="none" w:sz="0" w:space="0" w:color="auto"/>
                <w:bottom w:val="none" w:sz="0" w:space="0" w:color="auto"/>
                <w:right w:val="none" w:sz="0" w:space="0" w:color="auto"/>
              </w:divBdr>
            </w:div>
            <w:div w:id="1550845434">
              <w:marLeft w:val="0"/>
              <w:marRight w:val="0"/>
              <w:marTop w:val="0"/>
              <w:marBottom w:val="0"/>
              <w:divBdr>
                <w:top w:val="none" w:sz="0" w:space="0" w:color="auto"/>
                <w:left w:val="none" w:sz="0" w:space="0" w:color="auto"/>
                <w:bottom w:val="none" w:sz="0" w:space="0" w:color="auto"/>
                <w:right w:val="none" w:sz="0" w:space="0" w:color="auto"/>
              </w:divBdr>
            </w:div>
            <w:div w:id="1291133927">
              <w:marLeft w:val="0"/>
              <w:marRight w:val="0"/>
              <w:marTop w:val="0"/>
              <w:marBottom w:val="0"/>
              <w:divBdr>
                <w:top w:val="none" w:sz="0" w:space="0" w:color="auto"/>
                <w:left w:val="none" w:sz="0" w:space="0" w:color="auto"/>
                <w:bottom w:val="none" w:sz="0" w:space="0" w:color="auto"/>
                <w:right w:val="none" w:sz="0" w:space="0" w:color="auto"/>
              </w:divBdr>
            </w:div>
            <w:div w:id="1813474697">
              <w:marLeft w:val="0"/>
              <w:marRight w:val="0"/>
              <w:marTop w:val="0"/>
              <w:marBottom w:val="0"/>
              <w:divBdr>
                <w:top w:val="none" w:sz="0" w:space="0" w:color="auto"/>
                <w:left w:val="none" w:sz="0" w:space="0" w:color="auto"/>
                <w:bottom w:val="none" w:sz="0" w:space="0" w:color="auto"/>
                <w:right w:val="none" w:sz="0" w:space="0" w:color="auto"/>
              </w:divBdr>
            </w:div>
            <w:div w:id="134192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481778">
      <w:bodyDiv w:val="1"/>
      <w:marLeft w:val="0"/>
      <w:marRight w:val="0"/>
      <w:marTop w:val="0"/>
      <w:marBottom w:val="0"/>
      <w:divBdr>
        <w:top w:val="none" w:sz="0" w:space="0" w:color="auto"/>
        <w:left w:val="none" w:sz="0" w:space="0" w:color="auto"/>
        <w:bottom w:val="none" w:sz="0" w:space="0" w:color="auto"/>
        <w:right w:val="none" w:sz="0" w:space="0" w:color="auto"/>
      </w:divBdr>
    </w:div>
    <w:div w:id="220945948">
      <w:bodyDiv w:val="1"/>
      <w:marLeft w:val="0"/>
      <w:marRight w:val="0"/>
      <w:marTop w:val="0"/>
      <w:marBottom w:val="0"/>
      <w:divBdr>
        <w:top w:val="none" w:sz="0" w:space="0" w:color="auto"/>
        <w:left w:val="none" w:sz="0" w:space="0" w:color="auto"/>
        <w:bottom w:val="none" w:sz="0" w:space="0" w:color="auto"/>
        <w:right w:val="none" w:sz="0" w:space="0" w:color="auto"/>
      </w:divBdr>
    </w:div>
    <w:div w:id="266080033">
      <w:bodyDiv w:val="1"/>
      <w:marLeft w:val="0"/>
      <w:marRight w:val="0"/>
      <w:marTop w:val="0"/>
      <w:marBottom w:val="0"/>
      <w:divBdr>
        <w:top w:val="none" w:sz="0" w:space="0" w:color="auto"/>
        <w:left w:val="none" w:sz="0" w:space="0" w:color="auto"/>
        <w:bottom w:val="none" w:sz="0" w:space="0" w:color="auto"/>
        <w:right w:val="none" w:sz="0" w:space="0" w:color="auto"/>
      </w:divBdr>
      <w:divsChild>
        <w:div w:id="1557548812">
          <w:marLeft w:val="0"/>
          <w:marRight w:val="0"/>
          <w:marTop w:val="0"/>
          <w:marBottom w:val="0"/>
          <w:divBdr>
            <w:top w:val="none" w:sz="0" w:space="0" w:color="auto"/>
            <w:left w:val="none" w:sz="0" w:space="0" w:color="auto"/>
            <w:bottom w:val="none" w:sz="0" w:space="0" w:color="auto"/>
            <w:right w:val="none" w:sz="0" w:space="0" w:color="auto"/>
          </w:divBdr>
          <w:divsChild>
            <w:div w:id="1157725689">
              <w:marLeft w:val="0"/>
              <w:marRight w:val="0"/>
              <w:marTop w:val="0"/>
              <w:marBottom w:val="0"/>
              <w:divBdr>
                <w:top w:val="none" w:sz="0" w:space="0" w:color="auto"/>
                <w:left w:val="none" w:sz="0" w:space="0" w:color="auto"/>
                <w:bottom w:val="none" w:sz="0" w:space="0" w:color="auto"/>
                <w:right w:val="none" w:sz="0" w:space="0" w:color="auto"/>
              </w:divBdr>
              <w:divsChild>
                <w:div w:id="26399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756779">
      <w:bodyDiv w:val="1"/>
      <w:marLeft w:val="0"/>
      <w:marRight w:val="0"/>
      <w:marTop w:val="0"/>
      <w:marBottom w:val="0"/>
      <w:divBdr>
        <w:top w:val="none" w:sz="0" w:space="0" w:color="auto"/>
        <w:left w:val="none" w:sz="0" w:space="0" w:color="auto"/>
        <w:bottom w:val="none" w:sz="0" w:space="0" w:color="auto"/>
        <w:right w:val="none" w:sz="0" w:space="0" w:color="auto"/>
      </w:divBdr>
    </w:div>
    <w:div w:id="340010015">
      <w:bodyDiv w:val="1"/>
      <w:marLeft w:val="0"/>
      <w:marRight w:val="0"/>
      <w:marTop w:val="0"/>
      <w:marBottom w:val="0"/>
      <w:divBdr>
        <w:top w:val="none" w:sz="0" w:space="0" w:color="auto"/>
        <w:left w:val="none" w:sz="0" w:space="0" w:color="auto"/>
        <w:bottom w:val="none" w:sz="0" w:space="0" w:color="auto"/>
        <w:right w:val="none" w:sz="0" w:space="0" w:color="auto"/>
      </w:divBdr>
    </w:div>
    <w:div w:id="390662860">
      <w:bodyDiv w:val="1"/>
      <w:marLeft w:val="0"/>
      <w:marRight w:val="0"/>
      <w:marTop w:val="0"/>
      <w:marBottom w:val="0"/>
      <w:divBdr>
        <w:top w:val="none" w:sz="0" w:space="0" w:color="auto"/>
        <w:left w:val="none" w:sz="0" w:space="0" w:color="auto"/>
        <w:bottom w:val="none" w:sz="0" w:space="0" w:color="auto"/>
        <w:right w:val="none" w:sz="0" w:space="0" w:color="auto"/>
      </w:divBdr>
    </w:div>
    <w:div w:id="445660036">
      <w:bodyDiv w:val="1"/>
      <w:marLeft w:val="0"/>
      <w:marRight w:val="0"/>
      <w:marTop w:val="0"/>
      <w:marBottom w:val="0"/>
      <w:divBdr>
        <w:top w:val="none" w:sz="0" w:space="0" w:color="auto"/>
        <w:left w:val="none" w:sz="0" w:space="0" w:color="auto"/>
        <w:bottom w:val="none" w:sz="0" w:space="0" w:color="auto"/>
        <w:right w:val="none" w:sz="0" w:space="0" w:color="auto"/>
      </w:divBdr>
    </w:div>
    <w:div w:id="445780458">
      <w:bodyDiv w:val="1"/>
      <w:marLeft w:val="0"/>
      <w:marRight w:val="0"/>
      <w:marTop w:val="0"/>
      <w:marBottom w:val="0"/>
      <w:divBdr>
        <w:top w:val="none" w:sz="0" w:space="0" w:color="auto"/>
        <w:left w:val="none" w:sz="0" w:space="0" w:color="auto"/>
        <w:bottom w:val="none" w:sz="0" w:space="0" w:color="auto"/>
        <w:right w:val="none" w:sz="0" w:space="0" w:color="auto"/>
      </w:divBdr>
    </w:div>
    <w:div w:id="470633654">
      <w:bodyDiv w:val="1"/>
      <w:marLeft w:val="0"/>
      <w:marRight w:val="0"/>
      <w:marTop w:val="0"/>
      <w:marBottom w:val="0"/>
      <w:divBdr>
        <w:top w:val="none" w:sz="0" w:space="0" w:color="auto"/>
        <w:left w:val="none" w:sz="0" w:space="0" w:color="auto"/>
        <w:bottom w:val="none" w:sz="0" w:space="0" w:color="auto"/>
        <w:right w:val="none" w:sz="0" w:space="0" w:color="auto"/>
      </w:divBdr>
      <w:divsChild>
        <w:div w:id="194391337">
          <w:marLeft w:val="0"/>
          <w:marRight w:val="0"/>
          <w:marTop w:val="0"/>
          <w:marBottom w:val="0"/>
          <w:divBdr>
            <w:top w:val="none" w:sz="0" w:space="0" w:color="auto"/>
            <w:left w:val="none" w:sz="0" w:space="0" w:color="auto"/>
            <w:bottom w:val="none" w:sz="0" w:space="0" w:color="auto"/>
            <w:right w:val="none" w:sz="0" w:space="0" w:color="auto"/>
          </w:divBdr>
          <w:divsChild>
            <w:div w:id="779229453">
              <w:marLeft w:val="0"/>
              <w:marRight w:val="0"/>
              <w:marTop w:val="0"/>
              <w:marBottom w:val="0"/>
              <w:divBdr>
                <w:top w:val="none" w:sz="0" w:space="0" w:color="auto"/>
                <w:left w:val="none" w:sz="0" w:space="0" w:color="auto"/>
                <w:bottom w:val="none" w:sz="0" w:space="0" w:color="auto"/>
                <w:right w:val="none" w:sz="0" w:space="0" w:color="auto"/>
              </w:divBdr>
              <w:divsChild>
                <w:div w:id="203492683">
                  <w:marLeft w:val="0"/>
                  <w:marRight w:val="0"/>
                  <w:marTop w:val="0"/>
                  <w:marBottom w:val="0"/>
                  <w:divBdr>
                    <w:top w:val="none" w:sz="0" w:space="0" w:color="auto"/>
                    <w:left w:val="none" w:sz="0" w:space="0" w:color="auto"/>
                    <w:bottom w:val="none" w:sz="0" w:space="0" w:color="auto"/>
                    <w:right w:val="none" w:sz="0" w:space="0" w:color="auto"/>
                  </w:divBdr>
                  <w:divsChild>
                    <w:div w:id="650865331">
                      <w:marLeft w:val="0"/>
                      <w:marRight w:val="0"/>
                      <w:marTop w:val="0"/>
                      <w:marBottom w:val="0"/>
                      <w:divBdr>
                        <w:top w:val="none" w:sz="0" w:space="0" w:color="auto"/>
                        <w:left w:val="none" w:sz="0" w:space="0" w:color="auto"/>
                        <w:bottom w:val="none" w:sz="0" w:space="0" w:color="auto"/>
                        <w:right w:val="none" w:sz="0" w:space="0" w:color="auto"/>
                      </w:divBdr>
                      <w:divsChild>
                        <w:div w:id="1996565193">
                          <w:marLeft w:val="0"/>
                          <w:marRight w:val="0"/>
                          <w:marTop w:val="0"/>
                          <w:marBottom w:val="0"/>
                          <w:divBdr>
                            <w:top w:val="none" w:sz="0" w:space="0" w:color="auto"/>
                            <w:left w:val="none" w:sz="0" w:space="0" w:color="auto"/>
                            <w:bottom w:val="none" w:sz="0" w:space="0" w:color="auto"/>
                            <w:right w:val="none" w:sz="0" w:space="0" w:color="auto"/>
                          </w:divBdr>
                          <w:divsChild>
                            <w:div w:id="2055040051">
                              <w:marLeft w:val="0"/>
                              <w:marRight w:val="0"/>
                              <w:marTop w:val="0"/>
                              <w:marBottom w:val="0"/>
                              <w:divBdr>
                                <w:top w:val="none" w:sz="0" w:space="0" w:color="auto"/>
                                <w:left w:val="none" w:sz="0" w:space="0" w:color="auto"/>
                                <w:bottom w:val="none" w:sz="0" w:space="0" w:color="auto"/>
                                <w:right w:val="none" w:sz="0" w:space="0" w:color="auto"/>
                              </w:divBdr>
                            </w:div>
                          </w:divsChild>
                        </w:div>
                        <w:div w:id="722022040">
                          <w:marLeft w:val="0"/>
                          <w:marRight w:val="0"/>
                          <w:marTop w:val="0"/>
                          <w:marBottom w:val="0"/>
                          <w:divBdr>
                            <w:top w:val="none" w:sz="0" w:space="0" w:color="auto"/>
                            <w:left w:val="none" w:sz="0" w:space="0" w:color="auto"/>
                            <w:bottom w:val="none" w:sz="0" w:space="0" w:color="auto"/>
                            <w:right w:val="none" w:sz="0" w:space="0" w:color="auto"/>
                          </w:divBdr>
                          <w:divsChild>
                            <w:div w:id="1867479637">
                              <w:marLeft w:val="0"/>
                              <w:marRight w:val="0"/>
                              <w:marTop w:val="0"/>
                              <w:marBottom w:val="0"/>
                              <w:divBdr>
                                <w:top w:val="none" w:sz="0" w:space="0" w:color="auto"/>
                                <w:left w:val="none" w:sz="0" w:space="0" w:color="auto"/>
                                <w:bottom w:val="none" w:sz="0" w:space="0" w:color="auto"/>
                                <w:right w:val="none" w:sz="0" w:space="0" w:color="auto"/>
                              </w:divBdr>
                            </w:div>
                          </w:divsChild>
                        </w:div>
                        <w:div w:id="511261041">
                          <w:marLeft w:val="0"/>
                          <w:marRight w:val="0"/>
                          <w:marTop w:val="0"/>
                          <w:marBottom w:val="0"/>
                          <w:divBdr>
                            <w:top w:val="none" w:sz="0" w:space="0" w:color="auto"/>
                            <w:left w:val="none" w:sz="0" w:space="0" w:color="auto"/>
                            <w:bottom w:val="none" w:sz="0" w:space="0" w:color="auto"/>
                            <w:right w:val="none" w:sz="0" w:space="0" w:color="auto"/>
                          </w:divBdr>
                          <w:divsChild>
                            <w:div w:id="39985008">
                              <w:marLeft w:val="0"/>
                              <w:marRight w:val="0"/>
                              <w:marTop w:val="0"/>
                              <w:marBottom w:val="0"/>
                              <w:divBdr>
                                <w:top w:val="none" w:sz="0" w:space="0" w:color="auto"/>
                                <w:left w:val="none" w:sz="0" w:space="0" w:color="auto"/>
                                <w:bottom w:val="none" w:sz="0" w:space="0" w:color="auto"/>
                                <w:right w:val="none" w:sz="0" w:space="0" w:color="auto"/>
                              </w:divBdr>
                            </w:div>
                          </w:divsChild>
                        </w:div>
                        <w:div w:id="1614511784">
                          <w:marLeft w:val="0"/>
                          <w:marRight w:val="0"/>
                          <w:marTop w:val="0"/>
                          <w:marBottom w:val="0"/>
                          <w:divBdr>
                            <w:top w:val="none" w:sz="0" w:space="0" w:color="auto"/>
                            <w:left w:val="none" w:sz="0" w:space="0" w:color="auto"/>
                            <w:bottom w:val="none" w:sz="0" w:space="0" w:color="auto"/>
                            <w:right w:val="none" w:sz="0" w:space="0" w:color="auto"/>
                          </w:divBdr>
                          <w:divsChild>
                            <w:div w:id="123531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112043">
                  <w:marLeft w:val="0"/>
                  <w:marRight w:val="0"/>
                  <w:marTop w:val="0"/>
                  <w:marBottom w:val="0"/>
                  <w:divBdr>
                    <w:top w:val="none" w:sz="0" w:space="0" w:color="auto"/>
                    <w:left w:val="none" w:sz="0" w:space="0" w:color="auto"/>
                    <w:bottom w:val="none" w:sz="0" w:space="0" w:color="auto"/>
                    <w:right w:val="none" w:sz="0" w:space="0" w:color="auto"/>
                  </w:divBdr>
                  <w:divsChild>
                    <w:div w:id="210580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641">
          <w:marLeft w:val="0"/>
          <w:marRight w:val="0"/>
          <w:marTop w:val="0"/>
          <w:marBottom w:val="0"/>
          <w:divBdr>
            <w:top w:val="none" w:sz="0" w:space="0" w:color="auto"/>
            <w:left w:val="none" w:sz="0" w:space="0" w:color="auto"/>
            <w:bottom w:val="none" w:sz="0" w:space="0" w:color="auto"/>
            <w:right w:val="none" w:sz="0" w:space="0" w:color="auto"/>
          </w:divBdr>
          <w:divsChild>
            <w:div w:id="47193694">
              <w:marLeft w:val="0"/>
              <w:marRight w:val="0"/>
              <w:marTop w:val="0"/>
              <w:marBottom w:val="0"/>
              <w:divBdr>
                <w:top w:val="none" w:sz="0" w:space="0" w:color="auto"/>
                <w:left w:val="none" w:sz="0" w:space="0" w:color="auto"/>
                <w:bottom w:val="none" w:sz="0" w:space="0" w:color="auto"/>
                <w:right w:val="none" w:sz="0" w:space="0" w:color="auto"/>
              </w:divBdr>
              <w:divsChild>
                <w:div w:id="2119907558">
                  <w:marLeft w:val="0"/>
                  <w:marRight w:val="0"/>
                  <w:marTop w:val="0"/>
                  <w:marBottom w:val="0"/>
                  <w:divBdr>
                    <w:top w:val="none" w:sz="0" w:space="0" w:color="auto"/>
                    <w:left w:val="none" w:sz="0" w:space="0" w:color="auto"/>
                    <w:bottom w:val="none" w:sz="0" w:space="0" w:color="auto"/>
                    <w:right w:val="none" w:sz="0" w:space="0" w:color="auto"/>
                  </w:divBdr>
                  <w:divsChild>
                    <w:div w:id="266348053">
                      <w:marLeft w:val="0"/>
                      <w:marRight w:val="0"/>
                      <w:marTop w:val="0"/>
                      <w:marBottom w:val="0"/>
                      <w:divBdr>
                        <w:top w:val="none" w:sz="0" w:space="0" w:color="auto"/>
                        <w:left w:val="none" w:sz="0" w:space="0" w:color="auto"/>
                        <w:bottom w:val="none" w:sz="0" w:space="0" w:color="auto"/>
                        <w:right w:val="none" w:sz="0" w:space="0" w:color="auto"/>
                      </w:divBdr>
                    </w:div>
                  </w:divsChild>
                </w:div>
                <w:div w:id="1864660173">
                  <w:marLeft w:val="0"/>
                  <w:marRight w:val="0"/>
                  <w:marTop w:val="0"/>
                  <w:marBottom w:val="0"/>
                  <w:divBdr>
                    <w:top w:val="none" w:sz="0" w:space="0" w:color="auto"/>
                    <w:left w:val="none" w:sz="0" w:space="0" w:color="auto"/>
                    <w:bottom w:val="none" w:sz="0" w:space="0" w:color="auto"/>
                    <w:right w:val="none" w:sz="0" w:space="0" w:color="auto"/>
                  </w:divBdr>
                  <w:divsChild>
                    <w:div w:id="752973979">
                      <w:marLeft w:val="0"/>
                      <w:marRight w:val="0"/>
                      <w:marTop w:val="0"/>
                      <w:marBottom w:val="0"/>
                      <w:divBdr>
                        <w:top w:val="none" w:sz="0" w:space="0" w:color="auto"/>
                        <w:left w:val="none" w:sz="0" w:space="0" w:color="auto"/>
                        <w:bottom w:val="none" w:sz="0" w:space="0" w:color="auto"/>
                        <w:right w:val="none" w:sz="0" w:space="0" w:color="auto"/>
                      </w:divBdr>
                      <w:divsChild>
                        <w:div w:id="206020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5221259">
      <w:bodyDiv w:val="1"/>
      <w:marLeft w:val="0"/>
      <w:marRight w:val="0"/>
      <w:marTop w:val="0"/>
      <w:marBottom w:val="0"/>
      <w:divBdr>
        <w:top w:val="none" w:sz="0" w:space="0" w:color="auto"/>
        <w:left w:val="none" w:sz="0" w:space="0" w:color="auto"/>
        <w:bottom w:val="none" w:sz="0" w:space="0" w:color="auto"/>
        <w:right w:val="none" w:sz="0" w:space="0" w:color="auto"/>
      </w:divBdr>
    </w:div>
    <w:div w:id="481849887">
      <w:bodyDiv w:val="1"/>
      <w:marLeft w:val="0"/>
      <w:marRight w:val="0"/>
      <w:marTop w:val="0"/>
      <w:marBottom w:val="0"/>
      <w:divBdr>
        <w:top w:val="none" w:sz="0" w:space="0" w:color="auto"/>
        <w:left w:val="none" w:sz="0" w:space="0" w:color="auto"/>
        <w:bottom w:val="none" w:sz="0" w:space="0" w:color="auto"/>
        <w:right w:val="none" w:sz="0" w:space="0" w:color="auto"/>
      </w:divBdr>
    </w:div>
    <w:div w:id="491683137">
      <w:bodyDiv w:val="1"/>
      <w:marLeft w:val="0"/>
      <w:marRight w:val="0"/>
      <w:marTop w:val="0"/>
      <w:marBottom w:val="0"/>
      <w:divBdr>
        <w:top w:val="none" w:sz="0" w:space="0" w:color="auto"/>
        <w:left w:val="none" w:sz="0" w:space="0" w:color="auto"/>
        <w:bottom w:val="none" w:sz="0" w:space="0" w:color="auto"/>
        <w:right w:val="none" w:sz="0" w:space="0" w:color="auto"/>
      </w:divBdr>
      <w:divsChild>
        <w:div w:id="1739743415">
          <w:marLeft w:val="0"/>
          <w:marRight w:val="0"/>
          <w:marTop w:val="0"/>
          <w:marBottom w:val="0"/>
          <w:divBdr>
            <w:top w:val="none" w:sz="0" w:space="0" w:color="auto"/>
            <w:left w:val="none" w:sz="0" w:space="0" w:color="auto"/>
            <w:bottom w:val="none" w:sz="0" w:space="0" w:color="auto"/>
            <w:right w:val="none" w:sz="0" w:space="0" w:color="auto"/>
          </w:divBdr>
        </w:div>
        <w:div w:id="2082175602">
          <w:marLeft w:val="0"/>
          <w:marRight w:val="0"/>
          <w:marTop w:val="0"/>
          <w:marBottom w:val="0"/>
          <w:divBdr>
            <w:top w:val="none" w:sz="0" w:space="0" w:color="auto"/>
            <w:left w:val="none" w:sz="0" w:space="0" w:color="auto"/>
            <w:bottom w:val="none" w:sz="0" w:space="0" w:color="auto"/>
            <w:right w:val="none" w:sz="0" w:space="0" w:color="auto"/>
          </w:divBdr>
        </w:div>
      </w:divsChild>
    </w:div>
    <w:div w:id="505363713">
      <w:bodyDiv w:val="1"/>
      <w:marLeft w:val="0"/>
      <w:marRight w:val="0"/>
      <w:marTop w:val="0"/>
      <w:marBottom w:val="0"/>
      <w:divBdr>
        <w:top w:val="none" w:sz="0" w:space="0" w:color="auto"/>
        <w:left w:val="none" w:sz="0" w:space="0" w:color="auto"/>
        <w:bottom w:val="none" w:sz="0" w:space="0" w:color="auto"/>
        <w:right w:val="none" w:sz="0" w:space="0" w:color="auto"/>
      </w:divBdr>
    </w:div>
    <w:div w:id="508757574">
      <w:bodyDiv w:val="1"/>
      <w:marLeft w:val="0"/>
      <w:marRight w:val="0"/>
      <w:marTop w:val="0"/>
      <w:marBottom w:val="0"/>
      <w:divBdr>
        <w:top w:val="none" w:sz="0" w:space="0" w:color="auto"/>
        <w:left w:val="none" w:sz="0" w:space="0" w:color="auto"/>
        <w:bottom w:val="none" w:sz="0" w:space="0" w:color="auto"/>
        <w:right w:val="none" w:sz="0" w:space="0" w:color="auto"/>
      </w:divBdr>
    </w:div>
    <w:div w:id="545333913">
      <w:bodyDiv w:val="1"/>
      <w:marLeft w:val="0"/>
      <w:marRight w:val="0"/>
      <w:marTop w:val="0"/>
      <w:marBottom w:val="0"/>
      <w:divBdr>
        <w:top w:val="none" w:sz="0" w:space="0" w:color="auto"/>
        <w:left w:val="none" w:sz="0" w:space="0" w:color="auto"/>
        <w:bottom w:val="none" w:sz="0" w:space="0" w:color="auto"/>
        <w:right w:val="none" w:sz="0" w:space="0" w:color="auto"/>
      </w:divBdr>
    </w:div>
    <w:div w:id="545874708">
      <w:bodyDiv w:val="1"/>
      <w:marLeft w:val="0"/>
      <w:marRight w:val="0"/>
      <w:marTop w:val="0"/>
      <w:marBottom w:val="0"/>
      <w:divBdr>
        <w:top w:val="none" w:sz="0" w:space="0" w:color="auto"/>
        <w:left w:val="none" w:sz="0" w:space="0" w:color="auto"/>
        <w:bottom w:val="none" w:sz="0" w:space="0" w:color="auto"/>
        <w:right w:val="none" w:sz="0" w:space="0" w:color="auto"/>
      </w:divBdr>
    </w:div>
    <w:div w:id="600726601">
      <w:bodyDiv w:val="1"/>
      <w:marLeft w:val="0"/>
      <w:marRight w:val="0"/>
      <w:marTop w:val="0"/>
      <w:marBottom w:val="0"/>
      <w:divBdr>
        <w:top w:val="none" w:sz="0" w:space="0" w:color="auto"/>
        <w:left w:val="none" w:sz="0" w:space="0" w:color="auto"/>
        <w:bottom w:val="none" w:sz="0" w:space="0" w:color="auto"/>
        <w:right w:val="none" w:sz="0" w:space="0" w:color="auto"/>
      </w:divBdr>
    </w:div>
    <w:div w:id="612051574">
      <w:bodyDiv w:val="1"/>
      <w:marLeft w:val="0"/>
      <w:marRight w:val="0"/>
      <w:marTop w:val="0"/>
      <w:marBottom w:val="0"/>
      <w:divBdr>
        <w:top w:val="none" w:sz="0" w:space="0" w:color="auto"/>
        <w:left w:val="none" w:sz="0" w:space="0" w:color="auto"/>
        <w:bottom w:val="none" w:sz="0" w:space="0" w:color="auto"/>
        <w:right w:val="none" w:sz="0" w:space="0" w:color="auto"/>
      </w:divBdr>
    </w:div>
    <w:div w:id="649991057">
      <w:bodyDiv w:val="1"/>
      <w:marLeft w:val="0"/>
      <w:marRight w:val="0"/>
      <w:marTop w:val="0"/>
      <w:marBottom w:val="0"/>
      <w:divBdr>
        <w:top w:val="none" w:sz="0" w:space="0" w:color="auto"/>
        <w:left w:val="none" w:sz="0" w:space="0" w:color="auto"/>
        <w:bottom w:val="none" w:sz="0" w:space="0" w:color="auto"/>
        <w:right w:val="none" w:sz="0" w:space="0" w:color="auto"/>
      </w:divBdr>
      <w:divsChild>
        <w:div w:id="1908372070">
          <w:marLeft w:val="0"/>
          <w:marRight w:val="0"/>
          <w:marTop w:val="0"/>
          <w:marBottom w:val="0"/>
          <w:divBdr>
            <w:top w:val="none" w:sz="0" w:space="0" w:color="auto"/>
            <w:left w:val="none" w:sz="0" w:space="0" w:color="auto"/>
            <w:bottom w:val="none" w:sz="0" w:space="0" w:color="auto"/>
            <w:right w:val="none" w:sz="0" w:space="0" w:color="auto"/>
          </w:divBdr>
        </w:div>
        <w:div w:id="1263100489">
          <w:marLeft w:val="0"/>
          <w:marRight w:val="0"/>
          <w:marTop w:val="0"/>
          <w:marBottom w:val="0"/>
          <w:divBdr>
            <w:top w:val="none" w:sz="0" w:space="0" w:color="auto"/>
            <w:left w:val="none" w:sz="0" w:space="0" w:color="auto"/>
            <w:bottom w:val="none" w:sz="0" w:space="0" w:color="auto"/>
            <w:right w:val="none" w:sz="0" w:space="0" w:color="auto"/>
          </w:divBdr>
        </w:div>
        <w:div w:id="768546060">
          <w:marLeft w:val="0"/>
          <w:marRight w:val="0"/>
          <w:marTop w:val="0"/>
          <w:marBottom w:val="0"/>
          <w:divBdr>
            <w:top w:val="none" w:sz="0" w:space="0" w:color="auto"/>
            <w:left w:val="none" w:sz="0" w:space="0" w:color="auto"/>
            <w:bottom w:val="none" w:sz="0" w:space="0" w:color="auto"/>
            <w:right w:val="none" w:sz="0" w:space="0" w:color="auto"/>
          </w:divBdr>
        </w:div>
        <w:div w:id="53044971">
          <w:marLeft w:val="0"/>
          <w:marRight w:val="0"/>
          <w:marTop w:val="0"/>
          <w:marBottom w:val="0"/>
          <w:divBdr>
            <w:top w:val="none" w:sz="0" w:space="0" w:color="auto"/>
            <w:left w:val="none" w:sz="0" w:space="0" w:color="auto"/>
            <w:bottom w:val="none" w:sz="0" w:space="0" w:color="auto"/>
            <w:right w:val="none" w:sz="0" w:space="0" w:color="auto"/>
          </w:divBdr>
        </w:div>
        <w:div w:id="1622109798">
          <w:marLeft w:val="0"/>
          <w:marRight w:val="0"/>
          <w:marTop w:val="0"/>
          <w:marBottom w:val="0"/>
          <w:divBdr>
            <w:top w:val="none" w:sz="0" w:space="0" w:color="auto"/>
            <w:left w:val="none" w:sz="0" w:space="0" w:color="auto"/>
            <w:bottom w:val="none" w:sz="0" w:space="0" w:color="auto"/>
            <w:right w:val="none" w:sz="0" w:space="0" w:color="auto"/>
          </w:divBdr>
        </w:div>
        <w:div w:id="1889292866">
          <w:marLeft w:val="0"/>
          <w:marRight w:val="0"/>
          <w:marTop w:val="0"/>
          <w:marBottom w:val="0"/>
          <w:divBdr>
            <w:top w:val="none" w:sz="0" w:space="0" w:color="auto"/>
            <w:left w:val="none" w:sz="0" w:space="0" w:color="auto"/>
            <w:bottom w:val="none" w:sz="0" w:space="0" w:color="auto"/>
            <w:right w:val="none" w:sz="0" w:space="0" w:color="auto"/>
          </w:divBdr>
        </w:div>
        <w:div w:id="1495685439">
          <w:marLeft w:val="0"/>
          <w:marRight w:val="0"/>
          <w:marTop w:val="0"/>
          <w:marBottom w:val="0"/>
          <w:divBdr>
            <w:top w:val="none" w:sz="0" w:space="0" w:color="auto"/>
            <w:left w:val="none" w:sz="0" w:space="0" w:color="auto"/>
            <w:bottom w:val="none" w:sz="0" w:space="0" w:color="auto"/>
            <w:right w:val="none" w:sz="0" w:space="0" w:color="auto"/>
          </w:divBdr>
        </w:div>
        <w:div w:id="1586458984">
          <w:marLeft w:val="0"/>
          <w:marRight w:val="0"/>
          <w:marTop w:val="0"/>
          <w:marBottom w:val="0"/>
          <w:divBdr>
            <w:top w:val="none" w:sz="0" w:space="0" w:color="auto"/>
            <w:left w:val="none" w:sz="0" w:space="0" w:color="auto"/>
            <w:bottom w:val="none" w:sz="0" w:space="0" w:color="auto"/>
            <w:right w:val="none" w:sz="0" w:space="0" w:color="auto"/>
          </w:divBdr>
        </w:div>
        <w:div w:id="1363168536">
          <w:marLeft w:val="0"/>
          <w:marRight w:val="0"/>
          <w:marTop w:val="0"/>
          <w:marBottom w:val="0"/>
          <w:divBdr>
            <w:top w:val="none" w:sz="0" w:space="0" w:color="auto"/>
            <w:left w:val="none" w:sz="0" w:space="0" w:color="auto"/>
            <w:bottom w:val="none" w:sz="0" w:space="0" w:color="auto"/>
            <w:right w:val="none" w:sz="0" w:space="0" w:color="auto"/>
          </w:divBdr>
        </w:div>
        <w:div w:id="834876878">
          <w:marLeft w:val="0"/>
          <w:marRight w:val="0"/>
          <w:marTop w:val="0"/>
          <w:marBottom w:val="0"/>
          <w:divBdr>
            <w:top w:val="none" w:sz="0" w:space="0" w:color="auto"/>
            <w:left w:val="none" w:sz="0" w:space="0" w:color="auto"/>
            <w:bottom w:val="none" w:sz="0" w:space="0" w:color="auto"/>
            <w:right w:val="none" w:sz="0" w:space="0" w:color="auto"/>
          </w:divBdr>
        </w:div>
      </w:divsChild>
    </w:div>
    <w:div w:id="674653170">
      <w:bodyDiv w:val="1"/>
      <w:marLeft w:val="0"/>
      <w:marRight w:val="0"/>
      <w:marTop w:val="0"/>
      <w:marBottom w:val="0"/>
      <w:divBdr>
        <w:top w:val="none" w:sz="0" w:space="0" w:color="auto"/>
        <w:left w:val="none" w:sz="0" w:space="0" w:color="auto"/>
        <w:bottom w:val="none" w:sz="0" w:space="0" w:color="auto"/>
        <w:right w:val="none" w:sz="0" w:space="0" w:color="auto"/>
      </w:divBdr>
    </w:div>
    <w:div w:id="703140517">
      <w:bodyDiv w:val="1"/>
      <w:marLeft w:val="0"/>
      <w:marRight w:val="0"/>
      <w:marTop w:val="0"/>
      <w:marBottom w:val="0"/>
      <w:divBdr>
        <w:top w:val="none" w:sz="0" w:space="0" w:color="auto"/>
        <w:left w:val="none" w:sz="0" w:space="0" w:color="auto"/>
        <w:bottom w:val="none" w:sz="0" w:space="0" w:color="auto"/>
        <w:right w:val="none" w:sz="0" w:space="0" w:color="auto"/>
      </w:divBdr>
      <w:divsChild>
        <w:div w:id="1932733083">
          <w:marLeft w:val="0"/>
          <w:marRight w:val="0"/>
          <w:marTop w:val="480"/>
          <w:marBottom w:val="0"/>
          <w:divBdr>
            <w:top w:val="none" w:sz="0" w:space="0" w:color="auto"/>
            <w:left w:val="none" w:sz="0" w:space="0" w:color="auto"/>
            <w:bottom w:val="none" w:sz="0" w:space="0" w:color="auto"/>
            <w:right w:val="none" w:sz="0" w:space="0" w:color="auto"/>
          </w:divBdr>
        </w:div>
        <w:div w:id="275407732">
          <w:marLeft w:val="0"/>
          <w:marRight w:val="0"/>
          <w:marTop w:val="480"/>
          <w:marBottom w:val="0"/>
          <w:divBdr>
            <w:top w:val="none" w:sz="0" w:space="0" w:color="auto"/>
            <w:left w:val="none" w:sz="0" w:space="0" w:color="auto"/>
            <w:bottom w:val="none" w:sz="0" w:space="0" w:color="auto"/>
            <w:right w:val="none" w:sz="0" w:space="0" w:color="auto"/>
          </w:divBdr>
        </w:div>
        <w:div w:id="89856296">
          <w:marLeft w:val="0"/>
          <w:marRight w:val="0"/>
          <w:marTop w:val="480"/>
          <w:marBottom w:val="0"/>
          <w:divBdr>
            <w:top w:val="none" w:sz="0" w:space="0" w:color="auto"/>
            <w:left w:val="none" w:sz="0" w:space="0" w:color="auto"/>
            <w:bottom w:val="none" w:sz="0" w:space="0" w:color="auto"/>
            <w:right w:val="none" w:sz="0" w:space="0" w:color="auto"/>
          </w:divBdr>
        </w:div>
        <w:div w:id="709036741">
          <w:marLeft w:val="0"/>
          <w:marRight w:val="0"/>
          <w:marTop w:val="480"/>
          <w:marBottom w:val="0"/>
          <w:divBdr>
            <w:top w:val="none" w:sz="0" w:space="0" w:color="auto"/>
            <w:left w:val="none" w:sz="0" w:space="0" w:color="auto"/>
            <w:bottom w:val="none" w:sz="0" w:space="0" w:color="auto"/>
            <w:right w:val="none" w:sz="0" w:space="0" w:color="auto"/>
          </w:divBdr>
        </w:div>
        <w:div w:id="777800886">
          <w:marLeft w:val="0"/>
          <w:marRight w:val="0"/>
          <w:marTop w:val="480"/>
          <w:marBottom w:val="0"/>
          <w:divBdr>
            <w:top w:val="none" w:sz="0" w:space="0" w:color="auto"/>
            <w:left w:val="none" w:sz="0" w:space="0" w:color="auto"/>
            <w:bottom w:val="none" w:sz="0" w:space="0" w:color="auto"/>
            <w:right w:val="none" w:sz="0" w:space="0" w:color="auto"/>
          </w:divBdr>
        </w:div>
        <w:div w:id="1851750610">
          <w:marLeft w:val="0"/>
          <w:marRight w:val="0"/>
          <w:marTop w:val="480"/>
          <w:marBottom w:val="0"/>
          <w:divBdr>
            <w:top w:val="none" w:sz="0" w:space="0" w:color="auto"/>
            <w:left w:val="none" w:sz="0" w:space="0" w:color="auto"/>
            <w:bottom w:val="none" w:sz="0" w:space="0" w:color="auto"/>
            <w:right w:val="none" w:sz="0" w:space="0" w:color="auto"/>
          </w:divBdr>
        </w:div>
        <w:div w:id="1201286057">
          <w:marLeft w:val="0"/>
          <w:marRight w:val="0"/>
          <w:marTop w:val="480"/>
          <w:marBottom w:val="0"/>
          <w:divBdr>
            <w:top w:val="none" w:sz="0" w:space="0" w:color="auto"/>
            <w:left w:val="none" w:sz="0" w:space="0" w:color="auto"/>
            <w:bottom w:val="none" w:sz="0" w:space="0" w:color="auto"/>
            <w:right w:val="none" w:sz="0" w:space="0" w:color="auto"/>
          </w:divBdr>
        </w:div>
        <w:div w:id="420298991">
          <w:marLeft w:val="0"/>
          <w:marRight w:val="0"/>
          <w:marTop w:val="480"/>
          <w:marBottom w:val="0"/>
          <w:divBdr>
            <w:top w:val="none" w:sz="0" w:space="0" w:color="auto"/>
            <w:left w:val="none" w:sz="0" w:space="0" w:color="auto"/>
            <w:bottom w:val="none" w:sz="0" w:space="0" w:color="auto"/>
            <w:right w:val="none" w:sz="0" w:space="0" w:color="auto"/>
          </w:divBdr>
        </w:div>
      </w:divsChild>
    </w:div>
    <w:div w:id="720246198">
      <w:bodyDiv w:val="1"/>
      <w:marLeft w:val="0"/>
      <w:marRight w:val="0"/>
      <w:marTop w:val="0"/>
      <w:marBottom w:val="0"/>
      <w:divBdr>
        <w:top w:val="none" w:sz="0" w:space="0" w:color="auto"/>
        <w:left w:val="none" w:sz="0" w:space="0" w:color="auto"/>
        <w:bottom w:val="none" w:sz="0" w:space="0" w:color="auto"/>
        <w:right w:val="none" w:sz="0" w:space="0" w:color="auto"/>
      </w:divBdr>
      <w:divsChild>
        <w:div w:id="573390662">
          <w:marLeft w:val="0"/>
          <w:marRight w:val="0"/>
          <w:marTop w:val="0"/>
          <w:marBottom w:val="0"/>
          <w:divBdr>
            <w:top w:val="none" w:sz="0" w:space="0" w:color="auto"/>
            <w:left w:val="none" w:sz="0" w:space="0" w:color="auto"/>
            <w:bottom w:val="none" w:sz="0" w:space="0" w:color="auto"/>
            <w:right w:val="none" w:sz="0" w:space="0" w:color="auto"/>
          </w:divBdr>
          <w:divsChild>
            <w:div w:id="2087720692">
              <w:marLeft w:val="0"/>
              <w:marRight w:val="0"/>
              <w:marTop w:val="0"/>
              <w:marBottom w:val="0"/>
              <w:divBdr>
                <w:top w:val="none" w:sz="0" w:space="0" w:color="auto"/>
                <w:left w:val="none" w:sz="0" w:space="0" w:color="auto"/>
                <w:bottom w:val="none" w:sz="0" w:space="0" w:color="auto"/>
                <w:right w:val="none" w:sz="0" w:space="0" w:color="auto"/>
              </w:divBdr>
            </w:div>
          </w:divsChild>
        </w:div>
        <w:div w:id="475882647">
          <w:marLeft w:val="0"/>
          <w:marRight w:val="0"/>
          <w:marTop w:val="0"/>
          <w:marBottom w:val="0"/>
          <w:divBdr>
            <w:top w:val="none" w:sz="0" w:space="0" w:color="auto"/>
            <w:left w:val="none" w:sz="0" w:space="0" w:color="auto"/>
            <w:bottom w:val="none" w:sz="0" w:space="0" w:color="auto"/>
            <w:right w:val="none" w:sz="0" w:space="0" w:color="auto"/>
          </w:divBdr>
          <w:divsChild>
            <w:div w:id="675348547">
              <w:marLeft w:val="0"/>
              <w:marRight w:val="0"/>
              <w:marTop w:val="0"/>
              <w:marBottom w:val="0"/>
              <w:divBdr>
                <w:top w:val="none" w:sz="0" w:space="0" w:color="auto"/>
                <w:left w:val="none" w:sz="0" w:space="0" w:color="auto"/>
                <w:bottom w:val="none" w:sz="0" w:space="0" w:color="auto"/>
                <w:right w:val="none" w:sz="0" w:space="0" w:color="auto"/>
              </w:divBdr>
              <w:divsChild>
                <w:div w:id="494801302">
                  <w:marLeft w:val="0"/>
                  <w:marRight w:val="0"/>
                  <w:marTop w:val="0"/>
                  <w:marBottom w:val="0"/>
                  <w:divBdr>
                    <w:top w:val="none" w:sz="0" w:space="0" w:color="auto"/>
                    <w:left w:val="none" w:sz="0" w:space="0" w:color="auto"/>
                    <w:bottom w:val="none" w:sz="0" w:space="0" w:color="auto"/>
                    <w:right w:val="none" w:sz="0" w:space="0" w:color="auto"/>
                  </w:divBdr>
                  <w:divsChild>
                    <w:div w:id="2025747385">
                      <w:marLeft w:val="0"/>
                      <w:marRight w:val="0"/>
                      <w:marTop w:val="0"/>
                      <w:marBottom w:val="0"/>
                      <w:divBdr>
                        <w:top w:val="none" w:sz="0" w:space="0" w:color="auto"/>
                        <w:left w:val="none" w:sz="0" w:space="0" w:color="auto"/>
                        <w:bottom w:val="none" w:sz="0" w:space="0" w:color="auto"/>
                        <w:right w:val="none" w:sz="0" w:space="0" w:color="auto"/>
                      </w:divBdr>
                      <w:divsChild>
                        <w:div w:id="2132967296">
                          <w:marLeft w:val="0"/>
                          <w:marRight w:val="0"/>
                          <w:marTop w:val="0"/>
                          <w:marBottom w:val="0"/>
                          <w:divBdr>
                            <w:top w:val="none" w:sz="0" w:space="0" w:color="auto"/>
                            <w:left w:val="none" w:sz="0" w:space="0" w:color="auto"/>
                            <w:bottom w:val="none" w:sz="0" w:space="0" w:color="auto"/>
                            <w:right w:val="none" w:sz="0" w:space="0" w:color="auto"/>
                          </w:divBdr>
                          <w:divsChild>
                            <w:div w:id="420760791">
                              <w:marLeft w:val="0"/>
                              <w:marRight w:val="0"/>
                              <w:marTop w:val="0"/>
                              <w:marBottom w:val="0"/>
                              <w:divBdr>
                                <w:top w:val="none" w:sz="0" w:space="0" w:color="auto"/>
                                <w:left w:val="none" w:sz="0" w:space="0" w:color="auto"/>
                                <w:bottom w:val="none" w:sz="0" w:space="0" w:color="auto"/>
                                <w:right w:val="none" w:sz="0" w:space="0" w:color="auto"/>
                              </w:divBdr>
                              <w:divsChild>
                                <w:div w:id="339695566">
                                  <w:marLeft w:val="0"/>
                                  <w:marRight w:val="0"/>
                                  <w:marTop w:val="0"/>
                                  <w:marBottom w:val="0"/>
                                  <w:divBdr>
                                    <w:top w:val="none" w:sz="0" w:space="0" w:color="auto"/>
                                    <w:left w:val="none" w:sz="0" w:space="0" w:color="auto"/>
                                    <w:bottom w:val="none" w:sz="0" w:space="0" w:color="auto"/>
                                    <w:right w:val="none" w:sz="0" w:space="0" w:color="auto"/>
                                  </w:divBdr>
                                  <w:divsChild>
                                    <w:div w:id="21708795">
                                      <w:marLeft w:val="0"/>
                                      <w:marRight w:val="0"/>
                                      <w:marTop w:val="0"/>
                                      <w:marBottom w:val="0"/>
                                      <w:divBdr>
                                        <w:top w:val="none" w:sz="0" w:space="0" w:color="auto"/>
                                        <w:left w:val="none" w:sz="0" w:space="0" w:color="auto"/>
                                        <w:bottom w:val="none" w:sz="0" w:space="0" w:color="auto"/>
                                        <w:right w:val="none" w:sz="0" w:space="0" w:color="auto"/>
                                      </w:divBdr>
                                      <w:divsChild>
                                        <w:div w:id="177433619">
                                          <w:marLeft w:val="0"/>
                                          <w:marRight w:val="0"/>
                                          <w:marTop w:val="0"/>
                                          <w:marBottom w:val="0"/>
                                          <w:divBdr>
                                            <w:top w:val="none" w:sz="0" w:space="0" w:color="auto"/>
                                            <w:left w:val="none" w:sz="0" w:space="0" w:color="auto"/>
                                            <w:bottom w:val="none" w:sz="0" w:space="0" w:color="auto"/>
                                            <w:right w:val="none" w:sz="0" w:space="0" w:color="auto"/>
                                          </w:divBdr>
                                        </w:div>
                                        <w:div w:id="1663779884">
                                          <w:marLeft w:val="0"/>
                                          <w:marRight w:val="0"/>
                                          <w:marTop w:val="0"/>
                                          <w:marBottom w:val="0"/>
                                          <w:divBdr>
                                            <w:top w:val="none" w:sz="0" w:space="0" w:color="auto"/>
                                            <w:left w:val="none" w:sz="0" w:space="0" w:color="auto"/>
                                            <w:bottom w:val="none" w:sz="0" w:space="0" w:color="auto"/>
                                            <w:right w:val="none" w:sz="0" w:space="0" w:color="auto"/>
                                          </w:divBdr>
                                          <w:divsChild>
                                            <w:div w:id="1341394867">
                                              <w:marLeft w:val="0"/>
                                              <w:marRight w:val="0"/>
                                              <w:marTop w:val="0"/>
                                              <w:marBottom w:val="0"/>
                                              <w:divBdr>
                                                <w:top w:val="none" w:sz="0" w:space="0" w:color="auto"/>
                                                <w:left w:val="none" w:sz="0" w:space="0" w:color="auto"/>
                                                <w:bottom w:val="none" w:sz="0" w:space="0" w:color="auto"/>
                                                <w:right w:val="none" w:sz="0" w:space="0" w:color="auto"/>
                                              </w:divBdr>
                                            </w:div>
                                          </w:divsChild>
                                        </w:div>
                                        <w:div w:id="543450242">
                                          <w:marLeft w:val="0"/>
                                          <w:marRight w:val="0"/>
                                          <w:marTop w:val="0"/>
                                          <w:marBottom w:val="0"/>
                                          <w:divBdr>
                                            <w:top w:val="none" w:sz="0" w:space="0" w:color="auto"/>
                                            <w:left w:val="none" w:sz="0" w:space="0" w:color="auto"/>
                                            <w:bottom w:val="none" w:sz="0" w:space="0" w:color="auto"/>
                                            <w:right w:val="none" w:sz="0" w:space="0" w:color="auto"/>
                                          </w:divBdr>
                                          <w:divsChild>
                                            <w:div w:id="200431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4178046">
      <w:bodyDiv w:val="1"/>
      <w:marLeft w:val="0"/>
      <w:marRight w:val="0"/>
      <w:marTop w:val="0"/>
      <w:marBottom w:val="0"/>
      <w:divBdr>
        <w:top w:val="none" w:sz="0" w:space="0" w:color="auto"/>
        <w:left w:val="none" w:sz="0" w:space="0" w:color="auto"/>
        <w:bottom w:val="none" w:sz="0" w:space="0" w:color="auto"/>
        <w:right w:val="none" w:sz="0" w:space="0" w:color="auto"/>
      </w:divBdr>
    </w:div>
    <w:div w:id="762840076">
      <w:bodyDiv w:val="1"/>
      <w:marLeft w:val="0"/>
      <w:marRight w:val="0"/>
      <w:marTop w:val="0"/>
      <w:marBottom w:val="0"/>
      <w:divBdr>
        <w:top w:val="none" w:sz="0" w:space="0" w:color="auto"/>
        <w:left w:val="none" w:sz="0" w:space="0" w:color="auto"/>
        <w:bottom w:val="none" w:sz="0" w:space="0" w:color="auto"/>
        <w:right w:val="none" w:sz="0" w:space="0" w:color="auto"/>
      </w:divBdr>
    </w:div>
    <w:div w:id="767316935">
      <w:bodyDiv w:val="1"/>
      <w:marLeft w:val="0"/>
      <w:marRight w:val="0"/>
      <w:marTop w:val="0"/>
      <w:marBottom w:val="0"/>
      <w:divBdr>
        <w:top w:val="none" w:sz="0" w:space="0" w:color="auto"/>
        <w:left w:val="none" w:sz="0" w:space="0" w:color="auto"/>
        <w:bottom w:val="none" w:sz="0" w:space="0" w:color="auto"/>
        <w:right w:val="none" w:sz="0" w:space="0" w:color="auto"/>
      </w:divBdr>
    </w:div>
    <w:div w:id="778522637">
      <w:bodyDiv w:val="1"/>
      <w:marLeft w:val="0"/>
      <w:marRight w:val="0"/>
      <w:marTop w:val="0"/>
      <w:marBottom w:val="0"/>
      <w:divBdr>
        <w:top w:val="none" w:sz="0" w:space="0" w:color="auto"/>
        <w:left w:val="none" w:sz="0" w:space="0" w:color="auto"/>
        <w:bottom w:val="none" w:sz="0" w:space="0" w:color="auto"/>
        <w:right w:val="none" w:sz="0" w:space="0" w:color="auto"/>
      </w:divBdr>
      <w:divsChild>
        <w:div w:id="1830554974">
          <w:marLeft w:val="0"/>
          <w:marRight w:val="0"/>
          <w:marTop w:val="0"/>
          <w:marBottom w:val="0"/>
          <w:divBdr>
            <w:top w:val="none" w:sz="0" w:space="0" w:color="auto"/>
            <w:left w:val="none" w:sz="0" w:space="0" w:color="auto"/>
            <w:bottom w:val="single" w:sz="6" w:space="0" w:color="auto"/>
            <w:right w:val="none" w:sz="0" w:space="0" w:color="auto"/>
          </w:divBdr>
        </w:div>
      </w:divsChild>
    </w:div>
    <w:div w:id="789011696">
      <w:bodyDiv w:val="1"/>
      <w:marLeft w:val="0"/>
      <w:marRight w:val="0"/>
      <w:marTop w:val="0"/>
      <w:marBottom w:val="0"/>
      <w:divBdr>
        <w:top w:val="none" w:sz="0" w:space="0" w:color="auto"/>
        <w:left w:val="none" w:sz="0" w:space="0" w:color="auto"/>
        <w:bottom w:val="none" w:sz="0" w:space="0" w:color="auto"/>
        <w:right w:val="none" w:sz="0" w:space="0" w:color="auto"/>
      </w:divBdr>
      <w:divsChild>
        <w:div w:id="714233650">
          <w:marLeft w:val="0"/>
          <w:marRight w:val="0"/>
          <w:marTop w:val="0"/>
          <w:marBottom w:val="0"/>
          <w:divBdr>
            <w:top w:val="none" w:sz="0" w:space="0" w:color="auto"/>
            <w:left w:val="none" w:sz="0" w:space="0" w:color="auto"/>
            <w:bottom w:val="none" w:sz="0" w:space="0" w:color="auto"/>
            <w:right w:val="none" w:sz="0" w:space="0" w:color="auto"/>
          </w:divBdr>
        </w:div>
        <w:div w:id="941571414">
          <w:marLeft w:val="0"/>
          <w:marRight w:val="0"/>
          <w:marTop w:val="0"/>
          <w:marBottom w:val="0"/>
          <w:divBdr>
            <w:top w:val="none" w:sz="0" w:space="0" w:color="auto"/>
            <w:left w:val="none" w:sz="0" w:space="0" w:color="auto"/>
            <w:bottom w:val="none" w:sz="0" w:space="0" w:color="auto"/>
            <w:right w:val="none" w:sz="0" w:space="0" w:color="auto"/>
          </w:divBdr>
        </w:div>
        <w:div w:id="708648411">
          <w:marLeft w:val="0"/>
          <w:marRight w:val="0"/>
          <w:marTop w:val="0"/>
          <w:marBottom w:val="0"/>
          <w:divBdr>
            <w:top w:val="none" w:sz="0" w:space="0" w:color="auto"/>
            <w:left w:val="none" w:sz="0" w:space="0" w:color="auto"/>
            <w:bottom w:val="none" w:sz="0" w:space="0" w:color="auto"/>
            <w:right w:val="none" w:sz="0" w:space="0" w:color="auto"/>
          </w:divBdr>
        </w:div>
        <w:div w:id="1843544472">
          <w:marLeft w:val="0"/>
          <w:marRight w:val="0"/>
          <w:marTop w:val="0"/>
          <w:marBottom w:val="0"/>
          <w:divBdr>
            <w:top w:val="none" w:sz="0" w:space="0" w:color="auto"/>
            <w:left w:val="none" w:sz="0" w:space="0" w:color="auto"/>
            <w:bottom w:val="none" w:sz="0" w:space="0" w:color="auto"/>
            <w:right w:val="none" w:sz="0" w:space="0" w:color="auto"/>
          </w:divBdr>
        </w:div>
        <w:div w:id="66348728">
          <w:marLeft w:val="0"/>
          <w:marRight w:val="0"/>
          <w:marTop w:val="0"/>
          <w:marBottom w:val="0"/>
          <w:divBdr>
            <w:top w:val="none" w:sz="0" w:space="0" w:color="auto"/>
            <w:left w:val="none" w:sz="0" w:space="0" w:color="auto"/>
            <w:bottom w:val="none" w:sz="0" w:space="0" w:color="auto"/>
            <w:right w:val="none" w:sz="0" w:space="0" w:color="auto"/>
          </w:divBdr>
        </w:div>
        <w:div w:id="1502623274">
          <w:marLeft w:val="0"/>
          <w:marRight w:val="0"/>
          <w:marTop w:val="0"/>
          <w:marBottom w:val="0"/>
          <w:divBdr>
            <w:top w:val="none" w:sz="0" w:space="0" w:color="auto"/>
            <w:left w:val="none" w:sz="0" w:space="0" w:color="auto"/>
            <w:bottom w:val="none" w:sz="0" w:space="0" w:color="auto"/>
            <w:right w:val="none" w:sz="0" w:space="0" w:color="auto"/>
          </w:divBdr>
        </w:div>
        <w:div w:id="1857962848">
          <w:marLeft w:val="0"/>
          <w:marRight w:val="0"/>
          <w:marTop w:val="0"/>
          <w:marBottom w:val="0"/>
          <w:divBdr>
            <w:top w:val="none" w:sz="0" w:space="0" w:color="auto"/>
            <w:left w:val="none" w:sz="0" w:space="0" w:color="auto"/>
            <w:bottom w:val="none" w:sz="0" w:space="0" w:color="auto"/>
            <w:right w:val="none" w:sz="0" w:space="0" w:color="auto"/>
          </w:divBdr>
        </w:div>
        <w:div w:id="1427966087">
          <w:marLeft w:val="0"/>
          <w:marRight w:val="0"/>
          <w:marTop w:val="0"/>
          <w:marBottom w:val="0"/>
          <w:divBdr>
            <w:top w:val="none" w:sz="0" w:space="0" w:color="auto"/>
            <w:left w:val="none" w:sz="0" w:space="0" w:color="auto"/>
            <w:bottom w:val="none" w:sz="0" w:space="0" w:color="auto"/>
            <w:right w:val="none" w:sz="0" w:space="0" w:color="auto"/>
          </w:divBdr>
        </w:div>
        <w:div w:id="995499838">
          <w:marLeft w:val="0"/>
          <w:marRight w:val="0"/>
          <w:marTop w:val="0"/>
          <w:marBottom w:val="0"/>
          <w:divBdr>
            <w:top w:val="none" w:sz="0" w:space="0" w:color="auto"/>
            <w:left w:val="none" w:sz="0" w:space="0" w:color="auto"/>
            <w:bottom w:val="none" w:sz="0" w:space="0" w:color="auto"/>
            <w:right w:val="none" w:sz="0" w:space="0" w:color="auto"/>
          </w:divBdr>
        </w:div>
      </w:divsChild>
    </w:div>
    <w:div w:id="844588148">
      <w:bodyDiv w:val="1"/>
      <w:marLeft w:val="0"/>
      <w:marRight w:val="0"/>
      <w:marTop w:val="0"/>
      <w:marBottom w:val="0"/>
      <w:divBdr>
        <w:top w:val="none" w:sz="0" w:space="0" w:color="auto"/>
        <w:left w:val="none" w:sz="0" w:space="0" w:color="auto"/>
        <w:bottom w:val="none" w:sz="0" w:space="0" w:color="auto"/>
        <w:right w:val="none" w:sz="0" w:space="0" w:color="auto"/>
      </w:divBdr>
    </w:div>
    <w:div w:id="852457106">
      <w:bodyDiv w:val="1"/>
      <w:marLeft w:val="0"/>
      <w:marRight w:val="0"/>
      <w:marTop w:val="0"/>
      <w:marBottom w:val="0"/>
      <w:divBdr>
        <w:top w:val="none" w:sz="0" w:space="0" w:color="auto"/>
        <w:left w:val="none" w:sz="0" w:space="0" w:color="auto"/>
        <w:bottom w:val="none" w:sz="0" w:space="0" w:color="auto"/>
        <w:right w:val="none" w:sz="0" w:space="0" w:color="auto"/>
      </w:divBdr>
    </w:div>
    <w:div w:id="860171377">
      <w:bodyDiv w:val="1"/>
      <w:marLeft w:val="0"/>
      <w:marRight w:val="0"/>
      <w:marTop w:val="0"/>
      <w:marBottom w:val="0"/>
      <w:divBdr>
        <w:top w:val="none" w:sz="0" w:space="0" w:color="auto"/>
        <w:left w:val="none" w:sz="0" w:space="0" w:color="auto"/>
        <w:bottom w:val="none" w:sz="0" w:space="0" w:color="auto"/>
        <w:right w:val="none" w:sz="0" w:space="0" w:color="auto"/>
      </w:divBdr>
    </w:div>
    <w:div w:id="1045911986">
      <w:bodyDiv w:val="1"/>
      <w:marLeft w:val="0"/>
      <w:marRight w:val="0"/>
      <w:marTop w:val="0"/>
      <w:marBottom w:val="0"/>
      <w:divBdr>
        <w:top w:val="none" w:sz="0" w:space="0" w:color="auto"/>
        <w:left w:val="none" w:sz="0" w:space="0" w:color="auto"/>
        <w:bottom w:val="none" w:sz="0" w:space="0" w:color="auto"/>
        <w:right w:val="none" w:sz="0" w:space="0" w:color="auto"/>
      </w:divBdr>
    </w:div>
    <w:div w:id="1054352132">
      <w:bodyDiv w:val="1"/>
      <w:marLeft w:val="0"/>
      <w:marRight w:val="0"/>
      <w:marTop w:val="0"/>
      <w:marBottom w:val="0"/>
      <w:divBdr>
        <w:top w:val="none" w:sz="0" w:space="0" w:color="auto"/>
        <w:left w:val="none" w:sz="0" w:space="0" w:color="auto"/>
        <w:bottom w:val="none" w:sz="0" w:space="0" w:color="auto"/>
        <w:right w:val="none" w:sz="0" w:space="0" w:color="auto"/>
      </w:divBdr>
      <w:divsChild>
        <w:div w:id="289093561">
          <w:marLeft w:val="0"/>
          <w:marRight w:val="0"/>
          <w:marTop w:val="0"/>
          <w:marBottom w:val="0"/>
          <w:divBdr>
            <w:top w:val="none" w:sz="0" w:space="0" w:color="auto"/>
            <w:left w:val="none" w:sz="0" w:space="0" w:color="auto"/>
            <w:bottom w:val="none" w:sz="0" w:space="0" w:color="auto"/>
            <w:right w:val="none" w:sz="0" w:space="0" w:color="auto"/>
          </w:divBdr>
          <w:divsChild>
            <w:div w:id="155848205">
              <w:marLeft w:val="0"/>
              <w:marRight w:val="0"/>
              <w:marTop w:val="0"/>
              <w:marBottom w:val="0"/>
              <w:divBdr>
                <w:top w:val="none" w:sz="0" w:space="0" w:color="auto"/>
                <w:left w:val="none" w:sz="0" w:space="0" w:color="auto"/>
                <w:bottom w:val="none" w:sz="0" w:space="0" w:color="auto"/>
                <w:right w:val="none" w:sz="0" w:space="0" w:color="auto"/>
              </w:divBdr>
              <w:divsChild>
                <w:div w:id="201761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860404">
      <w:bodyDiv w:val="1"/>
      <w:marLeft w:val="0"/>
      <w:marRight w:val="0"/>
      <w:marTop w:val="0"/>
      <w:marBottom w:val="0"/>
      <w:divBdr>
        <w:top w:val="none" w:sz="0" w:space="0" w:color="auto"/>
        <w:left w:val="none" w:sz="0" w:space="0" w:color="auto"/>
        <w:bottom w:val="none" w:sz="0" w:space="0" w:color="auto"/>
        <w:right w:val="none" w:sz="0" w:space="0" w:color="auto"/>
      </w:divBdr>
    </w:div>
    <w:div w:id="1161000665">
      <w:bodyDiv w:val="1"/>
      <w:marLeft w:val="0"/>
      <w:marRight w:val="0"/>
      <w:marTop w:val="0"/>
      <w:marBottom w:val="0"/>
      <w:divBdr>
        <w:top w:val="none" w:sz="0" w:space="0" w:color="auto"/>
        <w:left w:val="none" w:sz="0" w:space="0" w:color="auto"/>
        <w:bottom w:val="none" w:sz="0" w:space="0" w:color="auto"/>
        <w:right w:val="none" w:sz="0" w:space="0" w:color="auto"/>
      </w:divBdr>
    </w:div>
    <w:div w:id="1174883643">
      <w:bodyDiv w:val="1"/>
      <w:marLeft w:val="0"/>
      <w:marRight w:val="0"/>
      <w:marTop w:val="0"/>
      <w:marBottom w:val="0"/>
      <w:divBdr>
        <w:top w:val="none" w:sz="0" w:space="0" w:color="auto"/>
        <w:left w:val="none" w:sz="0" w:space="0" w:color="auto"/>
        <w:bottom w:val="none" w:sz="0" w:space="0" w:color="auto"/>
        <w:right w:val="none" w:sz="0" w:space="0" w:color="auto"/>
      </w:divBdr>
    </w:div>
    <w:div w:id="1185023845">
      <w:bodyDiv w:val="1"/>
      <w:marLeft w:val="0"/>
      <w:marRight w:val="0"/>
      <w:marTop w:val="0"/>
      <w:marBottom w:val="0"/>
      <w:divBdr>
        <w:top w:val="none" w:sz="0" w:space="0" w:color="auto"/>
        <w:left w:val="none" w:sz="0" w:space="0" w:color="auto"/>
        <w:bottom w:val="none" w:sz="0" w:space="0" w:color="auto"/>
        <w:right w:val="none" w:sz="0" w:space="0" w:color="auto"/>
      </w:divBdr>
    </w:div>
    <w:div w:id="1189373027">
      <w:bodyDiv w:val="1"/>
      <w:marLeft w:val="0"/>
      <w:marRight w:val="0"/>
      <w:marTop w:val="0"/>
      <w:marBottom w:val="0"/>
      <w:divBdr>
        <w:top w:val="none" w:sz="0" w:space="0" w:color="auto"/>
        <w:left w:val="none" w:sz="0" w:space="0" w:color="auto"/>
        <w:bottom w:val="none" w:sz="0" w:space="0" w:color="auto"/>
        <w:right w:val="none" w:sz="0" w:space="0" w:color="auto"/>
      </w:divBdr>
      <w:divsChild>
        <w:div w:id="146479688">
          <w:marLeft w:val="0"/>
          <w:marRight w:val="0"/>
          <w:marTop w:val="0"/>
          <w:marBottom w:val="0"/>
          <w:divBdr>
            <w:top w:val="none" w:sz="0" w:space="0" w:color="auto"/>
            <w:left w:val="none" w:sz="0" w:space="0" w:color="auto"/>
            <w:bottom w:val="none" w:sz="0" w:space="0" w:color="auto"/>
            <w:right w:val="none" w:sz="0" w:space="0" w:color="auto"/>
          </w:divBdr>
          <w:divsChild>
            <w:div w:id="2046904909">
              <w:marLeft w:val="0"/>
              <w:marRight w:val="0"/>
              <w:marTop w:val="0"/>
              <w:marBottom w:val="0"/>
              <w:divBdr>
                <w:top w:val="none" w:sz="0" w:space="0" w:color="auto"/>
                <w:left w:val="none" w:sz="0" w:space="0" w:color="auto"/>
                <w:bottom w:val="none" w:sz="0" w:space="0" w:color="auto"/>
                <w:right w:val="none" w:sz="0" w:space="0" w:color="auto"/>
              </w:divBdr>
              <w:divsChild>
                <w:div w:id="440995988">
                  <w:marLeft w:val="0"/>
                  <w:marRight w:val="0"/>
                  <w:marTop w:val="0"/>
                  <w:marBottom w:val="0"/>
                  <w:divBdr>
                    <w:top w:val="none" w:sz="0" w:space="0" w:color="auto"/>
                    <w:left w:val="none" w:sz="0" w:space="0" w:color="auto"/>
                    <w:bottom w:val="none" w:sz="0" w:space="0" w:color="auto"/>
                    <w:right w:val="none" w:sz="0" w:space="0" w:color="auto"/>
                  </w:divBdr>
                  <w:divsChild>
                    <w:div w:id="1820340335">
                      <w:marLeft w:val="0"/>
                      <w:marRight w:val="0"/>
                      <w:marTop w:val="0"/>
                      <w:marBottom w:val="0"/>
                      <w:divBdr>
                        <w:top w:val="none" w:sz="0" w:space="0" w:color="auto"/>
                        <w:left w:val="none" w:sz="0" w:space="0" w:color="auto"/>
                        <w:bottom w:val="none" w:sz="0" w:space="0" w:color="auto"/>
                        <w:right w:val="none" w:sz="0" w:space="0" w:color="auto"/>
                      </w:divBdr>
                      <w:divsChild>
                        <w:div w:id="1252354892">
                          <w:marLeft w:val="0"/>
                          <w:marRight w:val="0"/>
                          <w:marTop w:val="0"/>
                          <w:marBottom w:val="0"/>
                          <w:divBdr>
                            <w:top w:val="none" w:sz="0" w:space="0" w:color="auto"/>
                            <w:left w:val="none" w:sz="0" w:space="0" w:color="auto"/>
                            <w:bottom w:val="none" w:sz="0" w:space="0" w:color="auto"/>
                            <w:right w:val="none" w:sz="0" w:space="0" w:color="auto"/>
                          </w:divBdr>
                          <w:divsChild>
                            <w:div w:id="1102795541">
                              <w:marLeft w:val="0"/>
                              <w:marRight w:val="0"/>
                              <w:marTop w:val="0"/>
                              <w:marBottom w:val="0"/>
                              <w:divBdr>
                                <w:top w:val="none" w:sz="0" w:space="0" w:color="auto"/>
                                <w:left w:val="none" w:sz="0" w:space="0" w:color="auto"/>
                                <w:bottom w:val="none" w:sz="0" w:space="0" w:color="auto"/>
                                <w:right w:val="none" w:sz="0" w:space="0" w:color="auto"/>
                              </w:divBdr>
                            </w:div>
                            <w:div w:id="1630740532">
                              <w:marLeft w:val="0"/>
                              <w:marRight w:val="0"/>
                              <w:marTop w:val="0"/>
                              <w:marBottom w:val="0"/>
                              <w:divBdr>
                                <w:top w:val="none" w:sz="0" w:space="0" w:color="auto"/>
                                <w:left w:val="none" w:sz="0" w:space="0" w:color="auto"/>
                                <w:bottom w:val="none" w:sz="0" w:space="0" w:color="auto"/>
                                <w:right w:val="none" w:sz="0" w:space="0" w:color="auto"/>
                              </w:divBdr>
                            </w:div>
                            <w:div w:id="1355959573">
                              <w:marLeft w:val="0"/>
                              <w:marRight w:val="0"/>
                              <w:marTop w:val="75"/>
                              <w:marBottom w:val="0"/>
                              <w:divBdr>
                                <w:top w:val="none" w:sz="0" w:space="0" w:color="auto"/>
                                <w:left w:val="none" w:sz="0" w:space="0" w:color="auto"/>
                                <w:bottom w:val="none" w:sz="0" w:space="0" w:color="auto"/>
                                <w:right w:val="none" w:sz="0" w:space="0" w:color="auto"/>
                              </w:divBdr>
                              <w:divsChild>
                                <w:div w:id="142757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4250591">
      <w:bodyDiv w:val="1"/>
      <w:marLeft w:val="0"/>
      <w:marRight w:val="0"/>
      <w:marTop w:val="0"/>
      <w:marBottom w:val="0"/>
      <w:divBdr>
        <w:top w:val="none" w:sz="0" w:space="0" w:color="auto"/>
        <w:left w:val="none" w:sz="0" w:space="0" w:color="auto"/>
        <w:bottom w:val="none" w:sz="0" w:space="0" w:color="auto"/>
        <w:right w:val="none" w:sz="0" w:space="0" w:color="auto"/>
      </w:divBdr>
    </w:div>
    <w:div w:id="1212762592">
      <w:bodyDiv w:val="1"/>
      <w:marLeft w:val="0"/>
      <w:marRight w:val="0"/>
      <w:marTop w:val="0"/>
      <w:marBottom w:val="0"/>
      <w:divBdr>
        <w:top w:val="none" w:sz="0" w:space="0" w:color="auto"/>
        <w:left w:val="none" w:sz="0" w:space="0" w:color="auto"/>
        <w:bottom w:val="none" w:sz="0" w:space="0" w:color="auto"/>
        <w:right w:val="none" w:sz="0" w:space="0" w:color="auto"/>
      </w:divBdr>
      <w:divsChild>
        <w:div w:id="1513836205">
          <w:marLeft w:val="0"/>
          <w:marRight w:val="0"/>
          <w:marTop w:val="480"/>
          <w:marBottom w:val="0"/>
          <w:divBdr>
            <w:top w:val="none" w:sz="0" w:space="0" w:color="auto"/>
            <w:left w:val="none" w:sz="0" w:space="0" w:color="auto"/>
            <w:bottom w:val="none" w:sz="0" w:space="0" w:color="auto"/>
            <w:right w:val="none" w:sz="0" w:space="0" w:color="auto"/>
          </w:divBdr>
        </w:div>
        <w:div w:id="1419399655">
          <w:marLeft w:val="0"/>
          <w:marRight w:val="0"/>
          <w:marTop w:val="480"/>
          <w:marBottom w:val="0"/>
          <w:divBdr>
            <w:top w:val="none" w:sz="0" w:space="0" w:color="auto"/>
            <w:left w:val="none" w:sz="0" w:space="0" w:color="auto"/>
            <w:bottom w:val="none" w:sz="0" w:space="0" w:color="auto"/>
            <w:right w:val="none" w:sz="0" w:space="0" w:color="auto"/>
          </w:divBdr>
        </w:div>
        <w:div w:id="615255145">
          <w:marLeft w:val="0"/>
          <w:marRight w:val="0"/>
          <w:marTop w:val="480"/>
          <w:marBottom w:val="0"/>
          <w:divBdr>
            <w:top w:val="none" w:sz="0" w:space="0" w:color="auto"/>
            <w:left w:val="none" w:sz="0" w:space="0" w:color="auto"/>
            <w:bottom w:val="none" w:sz="0" w:space="0" w:color="auto"/>
            <w:right w:val="none" w:sz="0" w:space="0" w:color="auto"/>
          </w:divBdr>
        </w:div>
        <w:div w:id="369300897">
          <w:marLeft w:val="0"/>
          <w:marRight w:val="0"/>
          <w:marTop w:val="480"/>
          <w:marBottom w:val="0"/>
          <w:divBdr>
            <w:top w:val="none" w:sz="0" w:space="0" w:color="auto"/>
            <w:left w:val="none" w:sz="0" w:space="0" w:color="auto"/>
            <w:bottom w:val="none" w:sz="0" w:space="0" w:color="auto"/>
            <w:right w:val="none" w:sz="0" w:space="0" w:color="auto"/>
          </w:divBdr>
        </w:div>
      </w:divsChild>
    </w:div>
    <w:div w:id="1257324178">
      <w:bodyDiv w:val="1"/>
      <w:marLeft w:val="0"/>
      <w:marRight w:val="0"/>
      <w:marTop w:val="0"/>
      <w:marBottom w:val="0"/>
      <w:divBdr>
        <w:top w:val="none" w:sz="0" w:space="0" w:color="auto"/>
        <w:left w:val="none" w:sz="0" w:space="0" w:color="auto"/>
        <w:bottom w:val="none" w:sz="0" w:space="0" w:color="auto"/>
        <w:right w:val="none" w:sz="0" w:space="0" w:color="auto"/>
      </w:divBdr>
    </w:div>
    <w:div w:id="1303119237">
      <w:bodyDiv w:val="1"/>
      <w:marLeft w:val="0"/>
      <w:marRight w:val="0"/>
      <w:marTop w:val="0"/>
      <w:marBottom w:val="0"/>
      <w:divBdr>
        <w:top w:val="none" w:sz="0" w:space="0" w:color="auto"/>
        <w:left w:val="none" w:sz="0" w:space="0" w:color="auto"/>
        <w:bottom w:val="none" w:sz="0" w:space="0" w:color="auto"/>
        <w:right w:val="none" w:sz="0" w:space="0" w:color="auto"/>
      </w:divBdr>
    </w:div>
    <w:div w:id="1345859644">
      <w:bodyDiv w:val="1"/>
      <w:marLeft w:val="0"/>
      <w:marRight w:val="0"/>
      <w:marTop w:val="0"/>
      <w:marBottom w:val="0"/>
      <w:divBdr>
        <w:top w:val="none" w:sz="0" w:space="0" w:color="auto"/>
        <w:left w:val="none" w:sz="0" w:space="0" w:color="auto"/>
        <w:bottom w:val="none" w:sz="0" w:space="0" w:color="auto"/>
        <w:right w:val="none" w:sz="0" w:space="0" w:color="auto"/>
      </w:divBdr>
    </w:div>
    <w:div w:id="1347563602">
      <w:bodyDiv w:val="1"/>
      <w:marLeft w:val="0"/>
      <w:marRight w:val="0"/>
      <w:marTop w:val="0"/>
      <w:marBottom w:val="0"/>
      <w:divBdr>
        <w:top w:val="none" w:sz="0" w:space="0" w:color="auto"/>
        <w:left w:val="none" w:sz="0" w:space="0" w:color="auto"/>
        <w:bottom w:val="none" w:sz="0" w:space="0" w:color="auto"/>
        <w:right w:val="none" w:sz="0" w:space="0" w:color="auto"/>
      </w:divBdr>
    </w:div>
    <w:div w:id="1364163054">
      <w:bodyDiv w:val="1"/>
      <w:marLeft w:val="0"/>
      <w:marRight w:val="0"/>
      <w:marTop w:val="0"/>
      <w:marBottom w:val="0"/>
      <w:divBdr>
        <w:top w:val="none" w:sz="0" w:space="0" w:color="auto"/>
        <w:left w:val="none" w:sz="0" w:space="0" w:color="auto"/>
        <w:bottom w:val="none" w:sz="0" w:space="0" w:color="auto"/>
        <w:right w:val="none" w:sz="0" w:space="0" w:color="auto"/>
      </w:divBdr>
    </w:div>
    <w:div w:id="1424567088">
      <w:bodyDiv w:val="1"/>
      <w:marLeft w:val="0"/>
      <w:marRight w:val="0"/>
      <w:marTop w:val="0"/>
      <w:marBottom w:val="0"/>
      <w:divBdr>
        <w:top w:val="none" w:sz="0" w:space="0" w:color="auto"/>
        <w:left w:val="none" w:sz="0" w:space="0" w:color="auto"/>
        <w:bottom w:val="none" w:sz="0" w:space="0" w:color="auto"/>
        <w:right w:val="none" w:sz="0" w:space="0" w:color="auto"/>
      </w:divBdr>
    </w:div>
    <w:div w:id="1441031296">
      <w:bodyDiv w:val="1"/>
      <w:marLeft w:val="0"/>
      <w:marRight w:val="0"/>
      <w:marTop w:val="0"/>
      <w:marBottom w:val="0"/>
      <w:divBdr>
        <w:top w:val="none" w:sz="0" w:space="0" w:color="auto"/>
        <w:left w:val="none" w:sz="0" w:space="0" w:color="auto"/>
        <w:bottom w:val="none" w:sz="0" w:space="0" w:color="auto"/>
        <w:right w:val="none" w:sz="0" w:space="0" w:color="auto"/>
      </w:divBdr>
    </w:div>
    <w:div w:id="1442725923">
      <w:bodyDiv w:val="1"/>
      <w:marLeft w:val="0"/>
      <w:marRight w:val="0"/>
      <w:marTop w:val="0"/>
      <w:marBottom w:val="0"/>
      <w:divBdr>
        <w:top w:val="none" w:sz="0" w:space="0" w:color="auto"/>
        <w:left w:val="none" w:sz="0" w:space="0" w:color="auto"/>
        <w:bottom w:val="none" w:sz="0" w:space="0" w:color="auto"/>
        <w:right w:val="none" w:sz="0" w:space="0" w:color="auto"/>
      </w:divBdr>
    </w:div>
    <w:div w:id="1455758467">
      <w:bodyDiv w:val="1"/>
      <w:marLeft w:val="0"/>
      <w:marRight w:val="0"/>
      <w:marTop w:val="0"/>
      <w:marBottom w:val="0"/>
      <w:divBdr>
        <w:top w:val="none" w:sz="0" w:space="0" w:color="auto"/>
        <w:left w:val="none" w:sz="0" w:space="0" w:color="auto"/>
        <w:bottom w:val="none" w:sz="0" w:space="0" w:color="auto"/>
        <w:right w:val="none" w:sz="0" w:space="0" w:color="auto"/>
      </w:divBdr>
    </w:div>
    <w:div w:id="1458793431">
      <w:bodyDiv w:val="1"/>
      <w:marLeft w:val="0"/>
      <w:marRight w:val="0"/>
      <w:marTop w:val="0"/>
      <w:marBottom w:val="0"/>
      <w:divBdr>
        <w:top w:val="none" w:sz="0" w:space="0" w:color="auto"/>
        <w:left w:val="none" w:sz="0" w:space="0" w:color="auto"/>
        <w:bottom w:val="none" w:sz="0" w:space="0" w:color="auto"/>
        <w:right w:val="none" w:sz="0" w:space="0" w:color="auto"/>
      </w:divBdr>
    </w:div>
    <w:div w:id="1495758863">
      <w:bodyDiv w:val="1"/>
      <w:marLeft w:val="0"/>
      <w:marRight w:val="0"/>
      <w:marTop w:val="0"/>
      <w:marBottom w:val="0"/>
      <w:divBdr>
        <w:top w:val="none" w:sz="0" w:space="0" w:color="auto"/>
        <w:left w:val="none" w:sz="0" w:space="0" w:color="auto"/>
        <w:bottom w:val="none" w:sz="0" w:space="0" w:color="auto"/>
        <w:right w:val="none" w:sz="0" w:space="0" w:color="auto"/>
      </w:divBdr>
    </w:div>
    <w:div w:id="1498836579">
      <w:bodyDiv w:val="1"/>
      <w:marLeft w:val="0"/>
      <w:marRight w:val="0"/>
      <w:marTop w:val="0"/>
      <w:marBottom w:val="0"/>
      <w:divBdr>
        <w:top w:val="none" w:sz="0" w:space="0" w:color="auto"/>
        <w:left w:val="none" w:sz="0" w:space="0" w:color="auto"/>
        <w:bottom w:val="none" w:sz="0" w:space="0" w:color="auto"/>
        <w:right w:val="none" w:sz="0" w:space="0" w:color="auto"/>
      </w:divBdr>
    </w:div>
    <w:div w:id="1582638811">
      <w:bodyDiv w:val="1"/>
      <w:marLeft w:val="0"/>
      <w:marRight w:val="0"/>
      <w:marTop w:val="0"/>
      <w:marBottom w:val="0"/>
      <w:divBdr>
        <w:top w:val="none" w:sz="0" w:space="0" w:color="auto"/>
        <w:left w:val="none" w:sz="0" w:space="0" w:color="auto"/>
        <w:bottom w:val="none" w:sz="0" w:space="0" w:color="auto"/>
        <w:right w:val="none" w:sz="0" w:space="0" w:color="auto"/>
      </w:divBdr>
    </w:div>
    <w:div w:id="1596666447">
      <w:bodyDiv w:val="1"/>
      <w:marLeft w:val="0"/>
      <w:marRight w:val="0"/>
      <w:marTop w:val="0"/>
      <w:marBottom w:val="0"/>
      <w:divBdr>
        <w:top w:val="none" w:sz="0" w:space="0" w:color="auto"/>
        <w:left w:val="none" w:sz="0" w:space="0" w:color="auto"/>
        <w:bottom w:val="none" w:sz="0" w:space="0" w:color="auto"/>
        <w:right w:val="none" w:sz="0" w:space="0" w:color="auto"/>
      </w:divBdr>
    </w:div>
    <w:div w:id="1607998638">
      <w:bodyDiv w:val="1"/>
      <w:marLeft w:val="0"/>
      <w:marRight w:val="0"/>
      <w:marTop w:val="0"/>
      <w:marBottom w:val="0"/>
      <w:divBdr>
        <w:top w:val="none" w:sz="0" w:space="0" w:color="auto"/>
        <w:left w:val="none" w:sz="0" w:space="0" w:color="auto"/>
        <w:bottom w:val="none" w:sz="0" w:space="0" w:color="auto"/>
        <w:right w:val="none" w:sz="0" w:space="0" w:color="auto"/>
      </w:divBdr>
    </w:div>
    <w:div w:id="1679651828">
      <w:bodyDiv w:val="1"/>
      <w:marLeft w:val="0"/>
      <w:marRight w:val="0"/>
      <w:marTop w:val="0"/>
      <w:marBottom w:val="0"/>
      <w:divBdr>
        <w:top w:val="none" w:sz="0" w:space="0" w:color="auto"/>
        <w:left w:val="none" w:sz="0" w:space="0" w:color="auto"/>
        <w:bottom w:val="none" w:sz="0" w:space="0" w:color="auto"/>
        <w:right w:val="none" w:sz="0" w:space="0" w:color="auto"/>
      </w:divBdr>
    </w:div>
    <w:div w:id="1695686437">
      <w:bodyDiv w:val="1"/>
      <w:marLeft w:val="0"/>
      <w:marRight w:val="0"/>
      <w:marTop w:val="0"/>
      <w:marBottom w:val="0"/>
      <w:divBdr>
        <w:top w:val="none" w:sz="0" w:space="0" w:color="auto"/>
        <w:left w:val="none" w:sz="0" w:space="0" w:color="auto"/>
        <w:bottom w:val="none" w:sz="0" w:space="0" w:color="auto"/>
        <w:right w:val="none" w:sz="0" w:space="0" w:color="auto"/>
      </w:divBdr>
    </w:div>
    <w:div w:id="1703553904">
      <w:bodyDiv w:val="1"/>
      <w:marLeft w:val="0"/>
      <w:marRight w:val="0"/>
      <w:marTop w:val="0"/>
      <w:marBottom w:val="0"/>
      <w:divBdr>
        <w:top w:val="none" w:sz="0" w:space="0" w:color="auto"/>
        <w:left w:val="none" w:sz="0" w:space="0" w:color="auto"/>
        <w:bottom w:val="none" w:sz="0" w:space="0" w:color="auto"/>
        <w:right w:val="none" w:sz="0" w:space="0" w:color="auto"/>
      </w:divBdr>
    </w:div>
    <w:div w:id="1729575572">
      <w:bodyDiv w:val="1"/>
      <w:marLeft w:val="0"/>
      <w:marRight w:val="0"/>
      <w:marTop w:val="0"/>
      <w:marBottom w:val="0"/>
      <w:divBdr>
        <w:top w:val="none" w:sz="0" w:space="0" w:color="auto"/>
        <w:left w:val="none" w:sz="0" w:space="0" w:color="auto"/>
        <w:bottom w:val="none" w:sz="0" w:space="0" w:color="auto"/>
        <w:right w:val="none" w:sz="0" w:space="0" w:color="auto"/>
      </w:divBdr>
    </w:div>
    <w:div w:id="1805196922">
      <w:bodyDiv w:val="1"/>
      <w:marLeft w:val="0"/>
      <w:marRight w:val="0"/>
      <w:marTop w:val="0"/>
      <w:marBottom w:val="0"/>
      <w:divBdr>
        <w:top w:val="none" w:sz="0" w:space="0" w:color="auto"/>
        <w:left w:val="none" w:sz="0" w:space="0" w:color="auto"/>
        <w:bottom w:val="none" w:sz="0" w:space="0" w:color="auto"/>
        <w:right w:val="none" w:sz="0" w:space="0" w:color="auto"/>
      </w:divBdr>
    </w:div>
    <w:div w:id="1808428515">
      <w:bodyDiv w:val="1"/>
      <w:marLeft w:val="0"/>
      <w:marRight w:val="0"/>
      <w:marTop w:val="0"/>
      <w:marBottom w:val="0"/>
      <w:divBdr>
        <w:top w:val="none" w:sz="0" w:space="0" w:color="auto"/>
        <w:left w:val="none" w:sz="0" w:space="0" w:color="auto"/>
        <w:bottom w:val="none" w:sz="0" w:space="0" w:color="auto"/>
        <w:right w:val="none" w:sz="0" w:space="0" w:color="auto"/>
      </w:divBdr>
    </w:div>
    <w:div w:id="1873346960">
      <w:bodyDiv w:val="1"/>
      <w:marLeft w:val="0"/>
      <w:marRight w:val="0"/>
      <w:marTop w:val="0"/>
      <w:marBottom w:val="0"/>
      <w:divBdr>
        <w:top w:val="none" w:sz="0" w:space="0" w:color="auto"/>
        <w:left w:val="none" w:sz="0" w:space="0" w:color="auto"/>
        <w:bottom w:val="none" w:sz="0" w:space="0" w:color="auto"/>
        <w:right w:val="none" w:sz="0" w:space="0" w:color="auto"/>
      </w:divBdr>
    </w:div>
    <w:div w:id="1942568484">
      <w:bodyDiv w:val="1"/>
      <w:marLeft w:val="0"/>
      <w:marRight w:val="0"/>
      <w:marTop w:val="0"/>
      <w:marBottom w:val="0"/>
      <w:divBdr>
        <w:top w:val="none" w:sz="0" w:space="0" w:color="auto"/>
        <w:left w:val="none" w:sz="0" w:space="0" w:color="auto"/>
        <w:bottom w:val="none" w:sz="0" w:space="0" w:color="auto"/>
        <w:right w:val="none" w:sz="0" w:space="0" w:color="auto"/>
      </w:divBdr>
    </w:div>
    <w:div w:id="1955287426">
      <w:bodyDiv w:val="1"/>
      <w:marLeft w:val="0"/>
      <w:marRight w:val="0"/>
      <w:marTop w:val="0"/>
      <w:marBottom w:val="0"/>
      <w:divBdr>
        <w:top w:val="none" w:sz="0" w:space="0" w:color="auto"/>
        <w:left w:val="none" w:sz="0" w:space="0" w:color="auto"/>
        <w:bottom w:val="none" w:sz="0" w:space="0" w:color="auto"/>
        <w:right w:val="none" w:sz="0" w:space="0" w:color="auto"/>
      </w:divBdr>
    </w:div>
    <w:div w:id="1960528028">
      <w:bodyDiv w:val="1"/>
      <w:marLeft w:val="0"/>
      <w:marRight w:val="0"/>
      <w:marTop w:val="0"/>
      <w:marBottom w:val="0"/>
      <w:divBdr>
        <w:top w:val="none" w:sz="0" w:space="0" w:color="auto"/>
        <w:left w:val="none" w:sz="0" w:space="0" w:color="auto"/>
        <w:bottom w:val="none" w:sz="0" w:space="0" w:color="auto"/>
        <w:right w:val="none" w:sz="0" w:space="0" w:color="auto"/>
      </w:divBdr>
    </w:div>
    <w:div w:id="2008051891">
      <w:bodyDiv w:val="1"/>
      <w:marLeft w:val="0"/>
      <w:marRight w:val="0"/>
      <w:marTop w:val="0"/>
      <w:marBottom w:val="0"/>
      <w:divBdr>
        <w:top w:val="none" w:sz="0" w:space="0" w:color="auto"/>
        <w:left w:val="none" w:sz="0" w:space="0" w:color="auto"/>
        <w:bottom w:val="none" w:sz="0" w:space="0" w:color="auto"/>
        <w:right w:val="none" w:sz="0" w:space="0" w:color="auto"/>
      </w:divBdr>
    </w:div>
    <w:div w:id="2008090683">
      <w:bodyDiv w:val="1"/>
      <w:marLeft w:val="0"/>
      <w:marRight w:val="0"/>
      <w:marTop w:val="0"/>
      <w:marBottom w:val="0"/>
      <w:divBdr>
        <w:top w:val="none" w:sz="0" w:space="0" w:color="auto"/>
        <w:left w:val="none" w:sz="0" w:space="0" w:color="auto"/>
        <w:bottom w:val="none" w:sz="0" w:space="0" w:color="auto"/>
        <w:right w:val="none" w:sz="0" w:space="0" w:color="auto"/>
      </w:divBdr>
      <w:divsChild>
        <w:div w:id="593782861">
          <w:marLeft w:val="0"/>
          <w:marRight w:val="0"/>
          <w:marTop w:val="0"/>
          <w:marBottom w:val="0"/>
          <w:divBdr>
            <w:top w:val="none" w:sz="0" w:space="0" w:color="auto"/>
            <w:left w:val="none" w:sz="0" w:space="0" w:color="auto"/>
            <w:bottom w:val="none" w:sz="0" w:space="0" w:color="auto"/>
            <w:right w:val="none" w:sz="0" w:space="0" w:color="auto"/>
          </w:divBdr>
        </w:div>
        <w:div w:id="1880781918">
          <w:marLeft w:val="0"/>
          <w:marRight w:val="0"/>
          <w:marTop w:val="0"/>
          <w:marBottom w:val="0"/>
          <w:divBdr>
            <w:top w:val="none" w:sz="0" w:space="0" w:color="auto"/>
            <w:left w:val="none" w:sz="0" w:space="0" w:color="auto"/>
            <w:bottom w:val="none" w:sz="0" w:space="0" w:color="auto"/>
            <w:right w:val="none" w:sz="0" w:space="0" w:color="auto"/>
          </w:divBdr>
        </w:div>
        <w:div w:id="1493715498">
          <w:marLeft w:val="0"/>
          <w:marRight w:val="0"/>
          <w:marTop w:val="0"/>
          <w:marBottom w:val="0"/>
          <w:divBdr>
            <w:top w:val="none" w:sz="0" w:space="0" w:color="auto"/>
            <w:left w:val="none" w:sz="0" w:space="0" w:color="auto"/>
            <w:bottom w:val="none" w:sz="0" w:space="0" w:color="auto"/>
            <w:right w:val="none" w:sz="0" w:space="0" w:color="auto"/>
          </w:divBdr>
        </w:div>
        <w:div w:id="1147355341">
          <w:marLeft w:val="0"/>
          <w:marRight w:val="0"/>
          <w:marTop w:val="0"/>
          <w:marBottom w:val="0"/>
          <w:divBdr>
            <w:top w:val="none" w:sz="0" w:space="0" w:color="auto"/>
            <w:left w:val="none" w:sz="0" w:space="0" w:color="auto"/>
            <w:bottom w:val="none" w:sz="0" w:space="0" w:color="auto"/>
            <w:right w:val="none" w:sz="0" w:space="0" w:color="auto"/>
          </w:divBdr>
        </w:div>
        <w:div w:id="93985836">
          <w:marLeft w:val="0"/>
          <w:marRight w:val="0"/>
          <w:marTop w:val="0"/>
          <w:marBottom w:val="0"/>
          <w:divBdr>
            <w:top w:val="none" w:sz="0" w:space="0" w:color="auto"/>
            <w:left w:val="none" w:sz="0" w:space="0" w:color="auto"/>
            <w:bottom w:val="none" w:sz="0" w:space="0" w:color="auto"/>
            <w:right w:val="none" w:sz="0" w:space="0" w:color="auto"/>
          </w:divBdr>
        </w:div>
        <w:div w:id="1541284978">
          <w:marLeft w:val="0"/>
          <w:marRight w:val="0"/>
          <w:marTop w:val="0"/>
          <w:marBottom w:val="0"/>
          <w:divBdr>
            <w:top w:val="none" w:sz="0" w:space="0" w:color="auto"/>
            <w:left w:val="none" w:sz="0" w:space="0" w:color="auto"/>
            <w:bottom w:val="none" w:sz="0" w:space="0" w:color="auto"/>
            <w:right w:val="none" w:sz="0" w:space="0" w:color="auto"/>
          </w:divBdr>
        </w:div>
        <w:div w:id="1053385356">
          <w:marLeft w:val="0"/>
          <w:marRight w:val="0"/>
          <w:marTop w:val="0"/>
          <w:marBottom w:val="0"/>
          <w:divBdr>
            <w:top w:val="none" w:sz="0" w:space="0" w:color="auto"/>
            <w:left w:val="none" w:sz="0" w:space="0" w:color="auto"/>
            <w:bottom w:val="none" w:sz="0" w:space="0" w:color="auto"/>
            <w:right w:val="none" w:sz="0" w:space="0" w:color="auto"/>
          </w:divBdr>
        </w:div>
        <w:div w:id="986476201">
          <w:marLeft w:val="0"/>
          <w:marRight w:val="0"/>
          <w:marTop w:val="0"/>
          <w:marBottom w:val="0"/>
          <w:divBdr>
            <w:top w:val="none" w:sz="0" w:space="0" w:color="auto"/>
            <w:left w:val="none" w:sz="0" w:space="0" w:color="auto"/>
            <w:bottom w:val="none" w:sz="0" w:space="0" w:color="auto"/>
            <w:right w:val="none" w:sz="0" w:space="0" w:color="auto"/>
          </w:divBdr>
        </w:div>
      </w:divsChild>
    </w:div>
    <w:div w:id="2038702143">
      <w:bodyDiv w:val="1"/>
      <w:marLeft w:val="0"/>
      <w:marRight w:val="0"/>
      <w:marTop w:val="0"/>
      <w:marBottom w:val="0"/>
      <w:divBdr>
        <w:top w:val="none" w:sz="0" w:space="0" w:color="auto"/>
        <w:left w:val="none" w:sz="0" w:space="0" w:color="auto"/>
        <w:bottom w:val="none" w:sz="0" w:space="0" w:color="auto"/>
        <w:right w:val="none" w:sz="0" w:space="0" w:color="auto"/>
      </w:divBdr>
    </w:div>
    <w:div w:id="2098482538">
      <w:bodyDiv w:val="1"/>
      <w:marLeft w:val="0"/>
      <w:marRight w:val="0"/>
      <w:marTop w:val="0"/>
      <w:marBottom w:val="0"/>
      <w:divBdr>
        <w:top w:val="none" w:sz="0" w:space="0" w:color="auto"/>
        <w:left w:val="none" w:sz="0" w:space="0" w:color="auto"/>
        <w:bottom w:val="none" w:sz="0" w:space="0" w:color="auto"/>
        <w:right w:val="none" w:sz="0" w:space="0" w:color="auto"/>
      </w:divBdr>
    </w:div>
    <w:div w:id="2111390336">
      <w:bodyDiv w:val="1"/>
      <w:marLeft w:val="0"/>
      <w:marRight w:val="0"/>
      <w:marTop w:val="0"/>
      <w:marBottom w:val="0"/>
      <w:divBdr>
        <w:top w:val="none" w:sz="0" w:space="0" w:color="auto"/>
        <w:left w:val="none" w:sz="0" w:space="0" w:color="auto"/>
        <w:bottom w:val="none" w:sz="0" w:space="0" w:color="auto"/>
        <w:right w:val="none" w:sz="0" w:space="0" w:color="auto"/>
      </w:divBdr>
    </w:div>
    <w:div w:id="2127574914">
      <w:bodyDiv w:val="1"/>
      <w:marLeft w:val="0"/>
      <w:marRight w:val="0"/>
      <w:marTop w:val="0"/>
      <w:marBottom w:val="0"/>
      <w:divBdr>
        <w:top w:val="none" w:sz="0" w:space="0" w:color="auto"/>
        <w:left w:val="none" w:sz="0" w:space="0" w:color="auto"/>
        <w:bottom w:val="none" w:sz="0" w:space="0" w:color="auto"/>
        <w:right w:val="none" w:sz="0" w:space="0" w:color="auto"/>
      </w:divBdr>
      <w:divsChild>
        <w:div w:id="122500286">
          <w:marLeft w:val="0"/>
          <w:marRight w:val="0"/>
          <w:marTop w:val="480"/>
          <w:marBottom w:val="0"/>
          <w:divBdr>
            <w:top w:val="none" w:sz="0" w:space="0" w:color="auto"/>
            <w:left w:val="none" w:sz="0" w:space="0" w:color="auto"/>
            <w:bottom w:val="none" w:sz="0" w:space="0" w:color="auto"/>
            <w:right w:val="none" w:sz="0" w:space="0" w:color="auto"/>
          </w:divBdr>
        </w:div>
        <w:div w:id="1677995254">
          <w:marLeft w:val="0"/>
          <w:marRight w:val="0"/>
          <w:marTop w:val="4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11</Pages>
  <Words>4636</Words>
  <Characters>25499</Characters>
  <Application>Microsoft Office Word</Application>
  <DocSecurity>0</DocSecurity>
  <Lines>212</Lines>
  <Paragraphs>60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Jérôme Lasserre  Capdeville</dc:creator>
  <cp:keywords/>
  <dc:description/>
  <cp:lastModifiedBy>Emmanuel Dercourt</cp:lastModifiedBy>
  <cp:revision>7</cp:revision>
  <cp:lastPrinted>2026-09-29T15:11:00Z</cp:lastPrinted>
  <dcterms:created xsi:type="dcterms:W3CDTF">2026-08-17T20:08:00Z</dcterms:created>
  <dcterms:modified xsi:type="dcterms:W3CDTF">2026-09-30T14:10:00Z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5c20be7-c3a5-46e3-9158-fa8a02ce2395_Enabled">
    <vt:lpwstr>true</vt:lpwstr>
  </property>
  <property fmtid="{D5CDD505-2E9C-101B-9397-08002B2CF9AE}" pid="3" name="MSIP_Label_d5c20be7-c3a5-46e3-9158-fa8a02ce2395_SetDate">
    <vt:lpwstr>2026-09-29T15:22:05Z</vt:lpwstr>
  </property>
  <property fmtid="{D5CDD505-2E9C-101B-9397-08002B2CF9AE}" pid="4" name="MSIP_Label_d5c20be7-c3a5-46e3-9158-fa8a02ce2395_Method">
    <vt:lpwstr>Standard</vt:lpwstr>
  </property>
  <property fmtid="{D5CDD505-2E9C-101B-9397-08002B2CF9AE}" pid="5" name="MSIP_Label_d5c20be7-c3a5-46e3-9158-fa8a02ce2395_Name">
    <vt:lpwstr>defa4170-0d19-0005-0004-bc88714345d2</vt:lpwstr>
  </property>
  <property fmtid="{D5CDD505-2E9C-101B-9397-08002B2CF9AE}" pid="6" name="MSIP_Label_d5c20be7-c3a5-46e3-9158-fa8a02ce2395_SiteId">
    <vt:lpwstr>8c6f9078-037e-4261-a583-52a944e55f7f</vt:lpwstr>
  </property>
  <property fmtid="{D5CDD505-2E9C-101B-9397-08002B2CF9AE}" pid="7" name="MSIP_Label_d5c20be7-c3a5-46e3-9158-fa8a02ce2395_ActionId">
    <vt:lpwstr>82dedd97-ce8a-46ec-bd80-41ef42129560</vt:lpwstr>
  </property>
  <property fmtid="{D5CDD505-2E9C-101B-9397-08002B2CF9AE}" pid="8" name="MSIP_Label_d5c20be7-c3a5-46e3-9158-fa8a02ce2395_ContentBits">
    <vt:lpwstr>0</vt:lpwstr>
  </property>
  <property fmtid="{D5CDD505-2E9C-101B-9397-08002B2CF9AE}" pid="9" name="MSIP_Label_d5c20be7-c3a5-46e3-9158-fa8a02ce2395_Tag">
    <vt:lpwstr>50, 3, 0, 1</vt:lpwstr>
  </property>
</Properties>
</file>