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3F0F" w:rsidRDefault="00783F0F" w:rsidP="00783F0F">
      <w:pPr>
        <w:pBdr>
          <w:top w:val="single" w:sz="4" w:space="1" w:color="auto"/>
          <w:left w:val="single" w:sz="4" w:space="4" w:color="auto"/>
          <w:bottom w:val="single" w:sz="4" w:space="1" w:color="auto"/>
          <w:right w:val="single" w:sz="4" w:space="4" w:color="auto"/>
        </w:pBdr>
        <w:jc w:val="center"/>
        <w:rPr>
          <w:rFonts w:ascii="Arial" w:hAnsi="Arial" w:cs="Arial"/>
          <w:b/>
          <w:sz w:val="32"/>
          <w:szCs w:val="32"/>
        </w:rPr>
      </w:pPr>
      <w:r>
        <w:rPr>
          <w:rFonts w:ascii="Arial" w:hAnsi="Arial" w:cs="Arial"/>
          <w:b/>
          <w:sz w:val="32"/>
          <w:szCs w:val="32"/>
        </w:rPr>
        <w:t>IDAI</w:t>
      </w:r>
    </w:p>
    <w:p w:rsidR="00D85DB1" w:rsidRPr="00D85DB1" w:rsidRDefault="00D85DB1" w:rsidP="00D85DB1">
      <w:pPr>
        <w:pBdr>
          <w:top w:val="single" w:sz="4" w:space="1" w:color="auto"/>
          <w:left w:val="single" w:sz="4" w:space="4" w:color="auto"/>
          <w:bottom w:val="single" w:sz="4" w:space="1" w:color="auto"/>
          <w:right w:val="single" w:sz="4" w:space="4" w:color="auto"/>
        </w:pBdr>
        <w:jc w:val="center"/>
        <w:rPr>
          <w:rFonts w:ascii="Arial" w:hAnsi="Arial" w:cs="Arial"/>
          <w:b/>
          <w:sz w:val="32"/>
          <w:szCs w:val="32"/>
        </w:rPr>
      </w:pPr>
      <w:r w:rsidRPr="00D85DB1">
        <w:rPr>
          <w:rFonts w:ascii="Arial" w:hAnsi="Arial" w:cs="Arial"/>
          <w:b/>
          <w:sz w:val="32"/>
          <w:szCs w:val="32"/>
        </w:rPr>
        <w:t>DROIT BANCAIRE</w:t>
      </w:r>
    </w:p>
    <w:p w:rsidR="00D85DB1" w:rsidRDefault="00D85DB1"/>
    <w:p w:rsidR="00D85DB1" w:rsidRPr="00D85DB1" w:rsidRDefault="00D85DB1">
      <w:pPr>
        <w:rPr>
          <w:b/>
        </w:rPr>
      </w:pPr>
      <w:r w:rsidRPr="00D85DB1">
        <w:rPr>
          <w:b/>
        </w:rPr>
        <w:t xml:space="preserve">Cours de </w:t>
      </w:r>
      <w:r>
        <w:rPr>
          <w:b/>
        </w:rPr>
        <w:t xml:space="preserve">J. </w:t>
      </w:r>
      <w:r w:rsidRPr="00D85DB1">
        <w:rPr>
          <w:b/>
        </w:rPr>
        <w:t>LASSERRE CAPDEVILLE</w:t>
      </w:r>
    </w:p>
    <w:p w:rsidR="00D85DB1" w:rsidRDefault="00D85DB1"/>
    <w:p w:rsidR="00D85DB1" w:rsidRDefault="00D85DB1"/>
    <w:p w:rsidR="00D85DB1" w:rsidRDefault="00D85DB1"/>
    <w:p w:rsidR="00D85DB1" w:rsidRPr="00D85DB1" w:rsidRDefault="00D85DB1" w:rsidP="00D85DB1">
      <w:pPr>
        <w:jc w:val="center"/>
        <w:rPr>
          <w:rFonts w:ascii="Arial" w:hAnsi="Arial" w:cs="Arial"/>
          <w:b/>
          <w:sz w:val="32"/>
          <w:szCs w:val="32"/>
        </w:rPr>
      </w:pPr>
      <w:r w:rsidRPr="00D85DB1">
        <w:rPr>
          <w:rFonts w:ascii="Arial" w:hAnsi="Arial" w:cs="Arial"/>
          <w:b/>
          <w:sz w:val="32"/>
          <w:szCs w:val="32"/>
        </w:rPr>
        <w:t>TRAVAUX DIRIGÉS</w:t>
      </w:r>
    </w:p>
    <w:p w:rsidR="00D85DB1" w:rsidRDefault="00D85DB1">
      <w:pPr>
        <w:rPr>
          <w:b/>
        </w:rPr>
      </w:pPr>
    </w:p>
    <w:p w:rsidR="00D85DB1" w:rsidRPr="00D85DB1" w:rsidRDefault="00D85DB1">
      <w:pPr>
        <w:rPr>
          <w:b/>
        </w:rPr>
      </w:pPr>
    </w:p>
    <w:p w:rsidR="006C70E3" w:rsidRPr="00D85DB1" w:rsidRDefault="006C70E3" w:rsidP="006C70E3">
      <w:pPr>
        <w:jc w:val="right"/>
        <w:rPr>
          <w:b/>
          <w:u w:val="single"/>
        </w:rPr>
      </w:pPr>
      <w:r w:rsidRPr="00D85DB1">
        <w:rPr>
          <w:b/>
          <w:u w:val="single"/>
        </w:rPr>
        <w:t>Équipe pédagogique :</w:t>
      </w:r>
    </w:p>
    <w:p w:rsidR="001E2528" w:rsidRDefault="001E2528" w:rsidP="001E2528">
      <w:pPr>
        <w:jc w:val="right"/>
        <w:rPr>
          <w:b/>
        </w:rPr>
      </w:pPr>
      <w:r>
        <w:rPr>
          <w:b/>
        </w:rPr>
        <w:t>E. DERCOURT</w:t>
      </w:r>
    </w:p>
    <w:p w:rsidR="00FB59F4" w:rsidRPr="00FB59F4" w:rsidRDefault="00FB59F4" w:rsidP="00FB59F4">
      <w:pPr>
        <w:jc w:val="right"/>
        <w:rPr>
          <w:b/>
        </w:rPr>
      </w:pPr>
    </w:p>
    <w:p w:rsidR="00D85DB1" w:rsidRPr="00FB59F4" w:rsidRDefault="00D85DB1" w:rsidP="00FB59F4"/>
    <w:p w:rsidR="00E92382" w:rsidRPr="00D85DB1" w:rsidRDefault="00E92382" w:rsidP="00E92382"/>
    <w:p w:rsidR="00E92382" w:rsidRPr="00D85DB1" w:rsidRDefault="00E92382" w:rsidP="00E92382">
      <w:pPr>
        <w:rPr>
          <w:b/>
        </w:rPr>
      </w:pPr>
      <w:r w:rsidRPr="00D85DB1">
        <w:rPr>
          <w:b/>
        </w:rPr>
        <w:t xml:space="preserve">Séance n° </w:t>
      </w:r>
      <w:r w:rsidR="004A7CA5">
        <w:rPr>
          <w:b/>
        </w:rPr>
        <w:t>4</w:t>
      </w:r>
    </w:p>
    <w:p w:rsidR="00E92382" w:rsidRPr="00D85DB1" w:rsidRDefault="00E92382" w:rsidP="00E92382"/>
    <w:p w:rsidR="00E92382" w:rsidRPr="004A7CA5" w:rsidRDefault="00E92382" w:rsidP="004A7CA5">
      <w:pPr>
        <w:jc w:val="both"/>
      </w:pPr>
      <w:r w:rsidRPr="00D85DB1">
        <w:rPr>
          <w:b/>
        </w:rPr>
        <w:t>Thème :</w:t>
      </w:r>
      <w:r w:rsidRPr="00D85DB1">
        <w:t xml:space="preserve"> </w:t>
      </w:r>
      <w:r w:rsidR="004A7CA5" w:rsidRPr="004A7CA5">
        <w:t>L’encadrement juridique des opérations de paiement par carte, virement et prélèvement</w:t>
      </w:r>
    </w:p>
    <w:p w:rsidR="00E92382" w:rsidRDefault="00E92382" w:rsidP="00E92382"/>
    <w:p w:rsidR="000D0093" w:rsidRDefault="000D0093" w:rsidP="00E92382"/>
    <w:p w:rsidR="004117CA" w:rsidRPr="00D85DB1" w:rsidRDefault="004117CA" w:rsidP="00E92382"/>
    <w:p w:rsidR="00E92382" w:rsidRPr="005B0788" w:rsidRDefault="00121C4D" w:rsidP="00E92382">
      <w:pPr>
        <w:rPr>
          <w:b/>
          <w:u w:val="single"/>
        </w:rPr>
      </w:pPr>
      <w:r w:rsidRPr="005B0788">
        <w:rPr>
          <w:b/>
          <w:u w:val="single"/>
        </w:rPr>
        <w:t>Co</w:t>
      </w:r>
      <w:r w:rsidR="005B0788" w:rsidRPr="005B0788">
        <w:rPr>
          <w:b/>
          <w:u w:val="single"/>
        </w:rPr>
        <w:t xml:space="preserve">mmentaire </w:t>
      </w:r>
      <w:r w:rsidR="004A7CA5">
        <w:rPr>
          <w:b/>
          <w:u w:val="single"/>
        </w:rPr>
        <w:t>d’arrêt</w:t>
      </w:r>
    </w:p>
    <w:p w:rsidR="00121C4D" w:rsidRDefault="00121C4D" w:rsidP="00E92382"/>
    <w:p w:rsidR="006439A2" w:rsidRDefault="000D0093" w:rsidP="00E92382">
      <w:r>
        <w:t>-</w:t>
      </w:r>
      <w:proofErr w:type="spellStart"/>
      <w:r w:rsidR="00B4232C">
        <w:t>Cass</w:t>
      </w:r>
      <w:proofErr w:type="spellEnd"/>
      <w:r w:rsidR="00B4232C">
        <w:t>. com., 4 mars 2026, n° 25-11.959</w:t>
      </w:r>
    </w:p>
    <w:p w:rsidR="004117CA" w:rsidRDefault="004117CA" w:rsidP="00E92382"/>
    <w:p w:rsidR="009269E4" w:rsidRDefault="009269E4" w:rsidP="00E92382"/>
    <w:p w:rsidR="004117CA" w:rsidRDefault="004117CA" w:rsidP="00E92382"/>
    <w:p w:rsidR="00863AF6" w:rsidRPr="00E929EE" w:rsidRDefault="00863AF6" w:rsidP="00863AF6">
      <w:pPr>
        <w:rPr>
          <w:b/>
          <w:u w:val="single"/>
        </w:rPr>
      </w:pPr>
      <w:r w:rsidRPr="00E929EE">
        <w:rPr>
          <w:b/>
          <w:u w:val="single"/>
        </w:rPr>
        <w:t>Fiches d’arrêts à préparer (penser à dégager une problématique)</w:t>
      </w:r>
    </w:p>
    <w:p w:rsidR="0050270D" w:rsidRDefault="0050270D" w:rsidP="00FB59F4">
      <w:pPr>
        <w:jc w:val="both"/>
      </w:pPr>
    </w:p>
    <w:p w:rsidR="004117CA" w:rsidRDefault="004117CA" w:rsidP="00FB59F4">
      <w:pPr>
        <w:jc w:val="both"/>
      </w:pPr>
      <w:r>
        <w:t>Exclusivité</w:t>
      </w:r>
    </w:p>
    <w:p w:rsidR="004117CA" w:rsidRDefault="004117CA" w:rsidP="00FB59F4">
      <w:pPr>
        <w:jc w:val="both"/>
      </w:pPr>
    </w:p>
    <w:p w:rsidR="009269E4" w:rsidRDefault="004117CA" w:rsidP="006439A2">
      <w:r>
        <w:t>-</w:t>
      </w:r>
      <w:proofErr w:type="spellStart"/>
      <w:r>
        <w:t>Cass</w:t>
      </w:r>
      <w:proofErr w:type="spellEnd"/>
      <w:r>
        <w:t>. com., 12 juin 2025, n° 24-13.697</w:t>
      </w:r>
    </w:p>
    <w:p w:rsidR="004117CA" w:rsidRDefault="004117CA" w:rsidP="006439A2"/>
    <w:p w:rsidR="00B4232C" w:rsidRDefault="00B4232C" w:rsidP="006439A2"/>
    <w:p w:rsidR="004117CA" w:rsidRDefault="004117CA" w:rsidP="006439A2">
      <w:r>
        <w:t>Forclusion</w:t>
      </w:r>
    </w:p>
    <w:p w:rsidR="004117CA" w:rsidRDefault="004117CA" w:rsidP="006439A2"/>
    <w:p w:rsidR="004117CA" w:rsidRDefault="004117CA" w:rsidP="006439A2">
      <w:r>
        <w:t>-</w:t>
      </w:r>
      <w:proofErr w:type="spellStart"/>
      <w:r>
        <w:t>Cass</w:t>
      </w:r>
      <w:proofErr w:type="spellEnd"/>
      <w:r>
        <w:t>. com., 2 juillet 2025, n° 24-16.590</w:t>
      </w:r>
    </w:p>
    <w:p w:rsidR="004117CA" w:rsidRDefault="004117CA" w:rsidP="006439A2"/>
    <w:p w:rsidR="00B4232C" w:rsidRDefault="00B4232C" w:rsidP="006439A2"/>
    <w:p w:rsidR="004117CA" w:rsidRDefault="004117CA" w:rsidP="006439A2">
      <w:r>
        <w:t>Authentification forte</w:t>
      </w:r>
    </w:p>
    <w:p w:rsidR="004117CA" w:rsidRDefault="004117CA" w:rsidP="006439A2"/>
    <w:p w:rsidR="006439A2" w:rsidRDefault="000D0093" w:rsidP="006439A2">
      <w:r>
        <w:t>-</w:t>
      </w:r>
      <w:proofErr w:type="spellStart"/>
      <w:r w:rsidR="006439A2">
        <w:t>Cass</w:t>
      </w:r>
      <w:proofErr w:type="spellEnd"/>
      <w:r w:rsidR="006439A2">
        <w:t>. com., 30 août 2023, n° 22-11.707</w:t>
      </w:r>
    </w:p>
    <w:p w:rsidR="006439A2" w:rsidRDefault="006439A2" w:rsidP="006439A2"/>
    <w:p w:rsidR="004117CA" w:rsidRDefault="004117CA" w:rsidP="00FB59F4">
      <w:pPr>
        <w:jc w:val="both"/>
      </w:pPr>
    </w:p>
    <w:p w:rsidR="00B4232C" w:rsidRDefault="00B4232C" w:rsidP="00FB59F4">
      <w:pPr>
        <w:jc w:val="both"/>
      </w:pPr>
    </w:p>
    <w:p w:rsidR="00B4232C" w:rsidRDefault="00B4232C" w:rsidP="00FB59F4">
      <w:pPr>
        <w:jc w:val="both"/>
      </w:pPr>
    </w:p>
    <w:p w:rsidR="00B4232C" w:rsidRDefault="00B4232C" w:rsidP="00FB59F4">
      <w:pPr>
        <w:jc w:val="both"/>
      </w:pPr>
    </w:p>
    <w:p w:rsidR="00B4232C" w:rsidRDefault="00B4232C" w:rsidP="00FB59F4">
      <w:pPr>
        <w:jc w:val="both"/>
      </w:pPr>
    </w:p>
    <w:p w:rsidR="004A7CA5" w:rsidRPr="000D0093" w:rsidRDefault="004A7CA5" w:rsidP="000D0093">
      <w:pPr>
        <w:jc w:val="both"/>
        <w:rPr>
          <w:b/>
          <w:color w:val="000000" w:themeColor="text1"/>
          <w:u w:val="single"/>
        </w:rPr>
      </w:pPr>
      <w:r w:rsidRPr="000D0093">
        <w:rPr>
          <w:b/>
          <w:color w:val="000000" w:themeColor="text1"/>
          <w:u w:val="single"/>
        </w:rPr>
        <w:lastRenderedPageBreak/>
        <w:t>Commentaire d’arrêt</w:t>
      </w:r>
    </w:p>
    <w:p w:rsidR="000D0093" w:rsidRDefault="000D0093" w:rsidP="000D0093">
      <w:pPr>
        <w:jc w:val="both"/>
        <w:rPr>
          <w:color w:val="000000" w:themeColor="text1"/>
        </w:rPr>
      </w:pPr>
    </w:p>
    <w:p w:rsidR="00B4232C" w:rsidRPr="00B4232C" w:rsidRDefault="00B4232C" w:rsidP="00B4232C">
      <w:pPr>
        <w:rPr>
          <w:b/>
        </w:rPr>
      </w:pPr>
      <w:proofErr w:type="spellStart"/>
      <w:r w:rsidRPr="00B4232C">
        <w:rPr>
          <w:b/>
        </w:rPr>
        <w:t>Cass</w:t>
      </w:r>
      <w:proofErr w:type="spellEnd"/>
      <w:r w:rsidRPr="00B4232C">
        <w:rPr>
          <w:b/>
        </w:rPr>
        <w:t>. com., 4 mars 2026, n° 25-11.959</w:t>
      </w:r>
    </w:p>
    <w:p w:rsidR="00B4232C" w:rsidRDefault="00B4232C" w:rsidP="00531EAF">
      <w:pPr>
        <w:jc w:val="both"/>
        <w:rPr>
          <w:color w:val="000000" w:themeColor="text1"/>
        </w:rPr>
      </w:pPr>
    </w:p>
    <w:p w:rsidR="00531EAF" w:rsidRDefault="00531EAF" w:rsidP="00531EAF">
      <w:pPr>
        <w:jc w:val="both"/>
        <w:rPr>
          <w:rFonts w:ascii="Arial" w:hAnsi="Arial" w:cs="Arial"/>
          <w:color w:val="3A3A3A"/>
        </w:rPr>
      </w:pPr>
      <w:r>
        <w:rPr>
          <w:rFonts w:ascii="Arial" w:hAnsi="Arial" w:cs="Arial"/>
          <w:color w:val="3A3A3A"/>
          <w:shd w:val="clear" w:color="auto" w:fill="FFFFFF"/>
        </w:rPr>
        <w:t>Faits et procédure</w:t>
      </w:r>
      <w:r>
        <w:rPr>
          <w:rStyle w:val="apple-converted-space"/>
          <w:rFonts w:ascii="Arial" w:hAnsi="Arial" w:cs="Arial"/>
          <w:color w:val="3A3A3A"/>
          <w:shd w:val="clear" w:color="auto" w:fill="FFFFFF"/>
        </w:rPr>
        <w:t> </w:t>
      </w:r>
    </w:p>
    <w:p w:rsidR="00531EAF" w:rsidRDefault="00531EAF" w:rsidP="00531EAF">
      <w:pPr>
        <w:jc w:val="both"/>
        <w:rPr>
          <w:rFonts w:ascii="Arial" w:hAnsi="Arial" w:cs="Arial"/>
          <w:color w:val="3A3A3A"/>
          <w:shd w:val="clear" w:color="auto" w:fill="FFFFFF"/>
        </w:rPr>
      </w:pPr>
    </w:p>
    <w:p w:rsidR="00531EAF" w:rsidRDefault="00531EAF" w:rsidP="00531EAF">
      <w:pPr>
        <w:jc w:val="both"/>
        <w:rPr>
          <w:rFonts w:ascii="Arial" w:hAnsi="Arial" w:cs="Arial"/>
          <w:color w:val="3A3A3A"/>
        </w:rPr>
      </w:pPr>
      <w:r>
        <w:rPr>
          <w:rFonts w:ascii="Arial" w:hAnsi="Arial" w:cs="Arial"/>
          <w:color w:val="3A3A3A"/>
          <w:shd w:val="clear" w:color="auto" w:fill="FFFFFF"/>
        </w:rPr>
        <w:t xml:space="preserve">1. Selon l'arrêt attaqué (Amiens, 19 décembre 2024), M. et Mme [K], titulaires d'un compte dans les livres de la société Bnp Paribas (la banque) et projetant une acquisition immobilière partiellement financée par un prêt consenti par celle-ci, ont été rendus successivement destinataires, par courriels des 27 et 28 octobre 2020, de deux relevés d'identité bancaire distincts au nom de la SCP de notaires </w:t>
      </w:r>
      <w:proofErr w:type="spellStart"/>
      <w:r>
        <w:rPr>
          <w:rFonts w:ascii="Arial" w:hAnsi="Arial" w:cs="Arial"/>
          <w:color w:val="3A3A3A"/>
          <w:shd w:val="clear" w:color="auto" w:fill="FFFFFF"/>
        </w:rPr>
        <w:t>Allauzen</w:t>
      </w:r>
      <w:proofErr w:type="spellEnd"/>
      <w:r>
        <w:rPr>
          <w:rFonts w:ascii="Arial" w:hAnsi="Arial" w:cs="Arial"/>
          <w:color w:val="3A3A3A"/>
          <w:shd w:val="clear" w:color="auto" w:fill="FFFFFF"/>
        </w:rPr>
        <w:t xml:space="preserve"> Cochin de Koninck </w:t>
      </w:r>
      <w:proofErr w:type="spellStart"/>
      <w:r>
        <w:rPr>
          <w:rFonts w:ascii="Arial" w:hAnsi="Arial" w:cs="Arial"/>
          <w:color w:val="3A3A3A"/>
          <w:shd w:val="clear" w:color="auto" w:fill="FFFFFF"/>
        </w:rPr>
        <w:t>Duthion</w:t>
      </w:r>
      <w:proofErr w:type="spellEnd"/>
      <w:r>
        <w:rPr>
          <w:rFonts w:ascii="Arial" w:hAnsi="Arial" w:cs="Arial"/>
          <w:color w:val="3A3A3A"/>
          <w:shd w:val="clear" w:color="auto" w:fill="FFFFFF"/>
        </w:rPr>
        <w:t>, les assistant à la vente, puis, le 10 novembre 2020, d'un troisième relevé d'identité bancaire au nom de la SCP de notaires assistant les vendeurs et devant recevoir l'acte.</w:t>
      </w:r>
    </w:p>
    <w:p w:rsidR="00531EAF" w:rsidRDefault="00531EAF" w:rsidP="00531EAF">
      <w:pPr>
        <w:jc w:val="both"/>
        <w:rPr>
          <w:rFonts w:ascii="Arial" w:hAnsi="Arial" w:cs="Arial"/>
          <w:color w:val="3A3A3A"/>
          <w:shd w:val="clear" w:color="auto" w:fill="FFFFFF"/>
        </w:rPr>
      </w:pPr>
    </w:p>
    <w:p w:rsidR="00531EAF" w:rsidRDefault="00531EAF" w:rsidP="00531EAF">
      <w:pPr>
        <w:jc w:val="both"/>
        <w:rPr>
          <w:rFonts w:ascii="Arial" w:hAnsi="Arial" w:cs="Arial"/>
          <w:color w:val="3A3A3A"/>
        </w:rPr>
      </w:pPr>
      <w:r>
        <w:rPr>
          <w:rFonts w:ascii="Arial" w:hAnsi="Arial" w:cs="Arial"/>
          <w:color w:val="3A3A3A"/>
          <w:shd w:val="clear" w:color="auto" w:fill="FFFFFF"/>
        </w:rPr>
        <w:t>2. Le 10 novembre 2020, en réponse à la demande de la banque et pour effectuer le paiement du coût de la transaction, M. et Mme [K] lui ont adressé un décompte des sommes à verser ainsi que le troisième relevé d'identité bancaire.</w:t>
      </w:r>
    </w:p>
    <w:p w:rsidR="00531EAF" w:rsidRDefault="00531EAF" w:rsidP="00531EAF">
      <w:pPr>
        <w:jc w:val="both"/>
        <w:rPr>
          <w:rFonts w:ascii="Arial" w:hAnsi="Arial" w:cs="Arial"/>
          <w:color w:val="3A3A3A"/>
          <w:shd w:val="clear" w:color="auto" w:fill="FFFFFF"/>
        </w:rPr>
      </w:pPr>
    </w:p>
    <w:p w:rsidR="00531EAF" w:rsidRDefault="00531EAF" w:rsidP="00531EAF">
      <w:pPr>
        <w:jc w:val="both"/>
        <w:rPr>
          <w:rFonts w:ascii="Arial" w:hAnsi="Arial" w:cs="Arial"/>
          <w:color w:val="3A3A3A"/>
        </w:rPr>
      </w:pPr>
      <w:r>
        <w:rPr>
          <w:rFonts w:ascii="Arial" w:hAnsi="Arial" w:cs="Arial"/>
          <w:color w:val="3A3A3A"/>
          <w:shd w:val="clear" w:color="auto" w:fill="FFFFFF"/>
        </w:rPr>
        <w:t>3. Le même jour, la banque leur a envoyé, par courriel, un ordre de virement comportant les références de ce troisième relevé d'identité bancaire, sur lequel M. et Mme [K] ont apposé leurs signatures, avant d'en faire retour à la banque.</w:t>
      </w:r>
    </w:p>
    <w:p w:rsidR="00531EAF" w:rsidRDefault="00531EAF" w:rsidP="00531EAF">
      <w:pPr>
        <w:jc w:val="both"/>
        <w:rPr>
          <w:rFonts w:ascii="Arial" w:hAnsi="Arial" w:cs="Arial"/>
          <w:color w:val="3A3A3A"/>
          <w:shd w:val="clear" w:color="auto" w:fill="FFFFFF"/>
        </w:rPr>
      </w:pPr>
    </w:p>
    <w:p w:rsidR="00531EAF" w:rsidRDefault="00531EAF" w:rsidP="00531EAF">
      <w:pPr>
        <w:jc w:val="both"/>
        <w:rPr>
          <w:rFonts w:ascii="Arial" w:hAnsi="Arial" w:cs="Arial"/>
          <w:color w:val="3A3A3A"/>
        </w:rPr>
      </w:pPr>
      <w:r>
        <w:rPr>
          <w:rFonts w:ascii="Arial" w:hAnsi="Arial" w:cs="Arial"/>
          <w:color w:val="3A3A3A"/>
          <w:shd w:val="clear" w:color="auto" w:fill="FFFFFF"/>
        </w:rPr>
        <w:t>4. Il s'est avéré que ledit relevé d'identité bancaire avait été envoyé à M. et Mme [K] à partir d'une adresse électronique imitant frauduleusement celle de la SCP de notaires les assistant et que le virement, d'une somme représentant leur apport personnel, est venu créditer un compte dont le bénéficiaire est demeuré inconnu.</w:t>
      </w:r>
    </w:p>
    <w:p w:rsidR="00531EAF" w:rsidRDefault="00531EAF" w:rsidP="00531EAF">
      <w:pPr>
        <w:jc w:val="both"/>
        <w:rPr>
          <w:rFonts w:ascii="Arial" w:hAnsi="Arial" w:cs="Arial"/>
          <w:color w:val="3A3A3A"/>
          <w:shd w:val="clear" w:color="auto" w:fill="FFFFFF"/>
        </w:rPr>
      </w:pPr>
    </w:p>
    <w:p w:rsidR="00531EAF" w:rsidRDefault="00531EAF" w:rsidP="00531EAF">
      <w:pPr>
        <w:jc w:val="both"/>
        <w:rPr>
          <w:rFonts w:ascii="Arial" w:hAnsi="Arial" w:cs="Arial"/>
          <w:color w:val="3A3A3A"/>
        </w:rPr>
      </w:pPr>
      <w:r>
        <w:rPr>
          <w:rFonts w:ascii="Arial" w:hAnsi="Arial" w:cs="Arial"/>
          <w:color w:val="3A3A3A"/>
          <w:shd w:val="clear" w:color="auto" w:fill="FFFFFF"/>
        </w:rPr>
        <w:t>5. Les 12 et 17 février 2021, M. et Mme [K] ont assigné la banque, soutenant qu'elle avait manqué à son obligation de vigilance.</w:t>
      </w:r>
    </w:p>
    <w:p w:rsidR="00531EAF" w:rsidRDefault="00531EAF" w:rsidP="00531EAF">
      <w:pPr>
        <w:jc w:val="both"/>
        <w:rPr>
          <w:rFonts w:ascii="Arial" w:hAnsi="Arial" w:cs="Arial"/>
          <w:color w:val="3A3A3A"/>
          <w:shd w:val="clear" w:color="auto" w:fill="FFFFFF"/>
        </w:rPr>
      </w:pPr>
    </w:p>
    <w:p w:rsidR="00531EAF" w:rsidRDefault="00531EAF" w:rsidP="00531EAF">
      <w:pPr>
        <w:jc w:val="both"/>
        <w:rPr>
          <w:rFonts w:ascii="Arial" w:hAnsi="Arial" w:cs="Arial"/>
          <w:color w:val="3A3A3A"/>
        </w:rPr>
      </w:pPr>
      <w:r>
        <w:rPr>
          <w:rFonts w:ascii="Arial" w:hAnsi="Arial" w:cs="Arial"/>
          <w:color w:val="3A3A3A"/>
          <w:shd w:val="clear" w:color="auto" w:fill="FFFFFF"/>
        </w:rPr>
        <w:t>Examen du moyen</w:t>
      </w:r>
    </w:p>
    <w:p w:rsidR="00531EAF" w:rsidRDefault="00531EAF" w:rsidP="00531EAF">
      <w:pPr>
        <w:jc w:val="both"/>
        <w:rPr>
          <w:rFonts w:ascii="Arial" w:hAnsi="Arial" w:cs="Arial"/>
          <w:color w:val="3A3A3A"/>
          <w:shd w:val="clear" w:color="auto" w:fill="FFFFFF"/>
        </w:rPr>
      </w:pPr>
    </w:p>
    <w:p w:rsidR="00531EAF" w:rsidRDefault="00531EAF" w:rsidP="00531EAF">
      <w:pPr>
        <w:jc w:val="both"/>
        <w:rPr>
          <w:rFonts w:ascii="Arial" w:hAnsi="Arial" w:cs="Arial"/>
          <w:color w:val="3A3A3A"/>
        </w:rPr>
      </w:pPr>
      <w:r>
        <w:rPr>
          <w:rFonts w:ascii="Arial" w:hAnsi="Arial" w:cs="Arial"/>
          <w:color w:val="3A3A3A"/>
          <w:shd w:val="clear" w:color="auto" w:fill="FFFFFF"/>
        </w:rPr>
        <w:t>Sur le moyen,</w:t>
      </w:r>
    </w:p>
    <w:p w:rsidR="00531EAF" w:rsidRDefault="00531EAF" w:rsidP="00531EAF">
      <w:pPr>
        <w:jc w:val="both"/>
        <w:rPr>
          <w:rFonts w:ascii="Arial" w:hAnsi="Arial" w:cs="Arial"/>
          <w:color w:val="3A3A3A"/>
          <w:shd w:val="clear" w:color="auto" w:fill="FFFFFF"/>
        </w:rPr>
      </w:pPr>
    </w:p>
    <w:p w:rsidR="00531EAF" w:rsidRDefault="00531EAF" w:rsidP="00531EAF">
      <w:pPr>
        <w:jc w:val="both"/>
        <w:rPr>
          <w:rFonts w:ascii="Arial" w:hAnsi="Arial" w:cs="Arial"/>
          <w:color w:val="3A3A3A"/>
        </w:rPr>
      </w:pPr>
      <w:proofErr w:type="spellStart"/>
      <w:r>
        <w:rPr>
          <w:rFonts w:ascii="Arial" w:hAnsi="Arial" w:cs="Arial"/>
          <w:color w:val="3A3A3A"/>
          <w:shd w:val="clear" w:color="auto" w:fill="FFFFFF"/>
        </w:rPr>
        <w:t>Enoncé</w:t>
      </w:r>
      <w:proofErr w:type="spellEnd"/>
      <w:r>
        <w:rPr>
          <w:rFonts w:ascii="Arial" w:hAnsi="Arial" w:cs="Arial"/>
          <w:color w:val="3A3A3A"/>
          <w:shd w:val="clear" w:color="auto" w:fill="FFFFFF"/>
        </w:rPr>
        <w:t xml:space="preserve"> du moyen</w:t>
      </w:r>
    </w:p>
    <w:p w:rsidR="00531EAF" w:rsidRDefault="00531EAF" w:rsidP="00531EAF">
      <w:pPr>
        <w:jc w:val="both"/>
        <w:rPr>
          <w:rFonts w:ascii="Arial" w:hAnsi="Arial" w:cs="Arial"/>
          <w:color w:val="3A3A3A"/>
          <w:shd w:val="clear" w:color="auto" w:fill="FFFFFF"/>
        </w:rPr>
      </w:pPr>
    </w:p>
    <w:p w:rsidR="00531EAF" w:rsidRDefault="00531EAF" w:rsidP="00531EAF">
      <w:pPr>
        <w:jc w:val="both"/>
        <w:rPr>
          <w:rFonts w:ascii="Arial" w:hAnsi="Arial" w:cs="Arial"/>
          <w:color w:val="3A3A3A"/>
        </w:rPr>
      </w:pPr>
      <w:r>
        <w:rPr>
          <w:rFonts w:ascii="Arial" w:hAnsi="Arial" w:cs="Arial"/>
          <w:color w:val="3A3A3A"/>
          <w:shd w:val="clear" w:color="auto" w:fill="FFFFFF"/>
        </w:rPr>
        <w:t>6. La banque fait grief à l'arrêt de retenir sa responsabilité contractuelle et de la condamner à verser à M. et Mme [K] la somme de 60 343,69 euros représentant le montant du virement, alors :</w:t>
      </w:r>
    </w:p>
    <w:p w:rsidR="00531EAF" w:rsidRDefault="00531EAF" w:rsidP="00531EAF">
      <w:pPr>
        <w:jc w:val="both"/>
        <w:rPr>
          <w:rFonts w:ascii="Arial" w:hAnsi="Arial" w:cs="Arial"/>
          <w:color w:val="3A3A3A"/>
          <w:shd w:val="clear" w:color="auto" w:fill="FFFFFF"/>
        </w:rPr>
      </w:pPr>
    </w:p>
    <w:p w:rsidR="00531EAF" w:rsidRDefault="00531EAF" w:rsidP="00531EAF">
      <w:pPr>
        <w:jc w:val="both"/>
        <w:rPr>
          <w:rFonts w:ascii="Arial" w:hAnsi="Arial" w:cs="Arial"/>
          <w:color w:val="3A3A3A"/>
        </w:rPr>
      </w:pPr>
      <w:r>
        <w:rPr>
          <w:rFonts w:ascii="Arial" w:hAnsi="Arial" w:cs="Arial"/>
          <w:color w:val="3A3A3A"/>
          <w:shd w:val="clear" w:color="auto" w:fill="FFFFFF"/>
        </w:rPr>
        <w:t xml:space="preserve">« 1°/ que la responsabilité contractuelle de droit commun résultant de l'article 1231-1 du code civil n'est pas applicable en présence du régime de responsabilité exclusif résultant des articles L. 133-18 à L. 133-24 du code monétaire et financier ; qu'ainsi, dès lors que la responsabilité d'un prestataire de services de paiement est recherchée en raison d'une opération de paiement non autorisée ou mal exécutée, seul est applicable le régime de responsabilité défini aux articles L. 133-18 à L. 133-24 précités, qui transposent les articles 58, 59 et 60, paragraphe 1, de la directive 2007/64/CE, à l'exclusion de tout régime alternatif de responsabilité résultant du droit national ; que pour condamner la société BNP Paribas à payer aux époux [K] la somme de 60 343,69 </w:t>
      </w:r>
      <w:r>
        <w:rPr>
          <w:rFonts w:ascii="Arial" w:hAnsi="Arial" w:cs="Arial"/>
          <w:color w:val="3A3A3A"/>
          <w:shd w:val="clear" w:color="auto" w:fill="FFFFFF"/>
        </w:rPr>
        <w:lastRenderedPageBreak/>
        <w:t xml:space="preserve">euros, l'arrêt retient le régime de responsabilité (...) concerne l'identifiant unique comportant des indications erronées mais ne s'applique pas aux faux grossiers ni aux opérations frauduleuses (...) le présent cas d'espèce n'est donc pas lié à l'exécution d'un virement au vu d'un identifiant erroné mais d'une </w:t>
      </w:r>
      <w:proofErr w:type="spellStart"/>
      <w:r>
        <w:rPr>
          <w:rFonts w:ascii="Arial" w:hAnsi="Arial" w:cs="Arial"/>
          <w:color w:val="3A3A3A"/>
          <w:shd w:val="clear" w:color="auto" w:fill="FFFFFF"/>
        </w:rPr>
        <w:t>manoeuvre</w:t>
      </w:r>
      <w:proofErr w:type="spellEnd"/>
      <w:r>
        <w:rPr>
          <w:rFonts w:ascii="Arial" w:hAnsi="Arial" w:cs="Arial"/>
          <w:color w:val="3A3A3A"/>
          <w:shd w:val="clear" w:color="auto" w:fill="FFFFFF"/>
        </w:rPr>
        <w:t xml:space="preserve"> manifestement illicite et frauduleuse ; l'ordre de paiement ne pouvait ainsi être considéré comme régulier et encore moins autorisé. (...) l'ordre de paiement n'a pas été exécuté dans des conditions de fiabilité minimale et acceptable et révèle une faille de contrôle interne majeure au sein de la banque et d'une dysfonction de son système de paiement. Le paiement litigieux se situe donc par définition hors du champ du régime de l'article L. 133-21 code monétaire et financier applicables aux seuls ordres de paiement autorisés sur un service de paiement fonctionnel et dans ces conditions </w:t>
      </w:r>
      <w:proofErr w:type="spellStart"/>
      <w:r>
        <w:rPr>
          <w:rFonts w:ascii="Arial" w:hAnsi="Arial" w:cs="Arial"/>
          <w:color w:val="3A3A3A"/>
          <w:shd w:val="clear" w:color="auto" w:fill="FFFFFF"/>
        </w:rPr>
        <w:t>la</w:t>
      </w:r>
      <w:proofErr w:type="spellEnd"/>
      <w:r>
        <w:rPr>
          <w:rFonts w:ascii="Arial" w:hAnsi="Arial" w:cs="Arial"/>
          <w:color w:val="3A3A3A"/>
          <w:shd w:val="clear" w:color="auto" w:fill="FFFFFF"/>
        </w:rPr>
        <w:t xml:space="preserve"> SA BNP Paribas a engagé sa responsabilité contractuelle de droit commun" ; qu'en statuant ainsi, quand l'article L. 133-21 du code monétaire et financier est exclusif de toute application des règles de droit commun, la cour d'appel a violé les articles L. 133-21 du code monétaire et financier et 1231-1 du code civil » ;</w:t>
      </w:r>
    </w:p>
    <w:p w:rsidR="00531EAF" w:rsidRDefault="00531EAF" w:rsidP="00531EAF">
      <w:pPr>
        <w:jc w:val="both"/>
        <w:rPr>
          <w:rFonts w:ascii="Arial" w:hAnsi="Arial" w:cs="Arial"/>
          <w:color w:val="3A3A3A"/>
          <w:shd w:val="clear" w:color="auto" w:fill="FFFFFF"/>
        </w:rPr>
      </w:pPr>
    </w:p>
    <w:p w:rsidR="00531EAF" w:rsidRDefault="00531EAF" w:rsidP="00531EAF">
      <w:pPr>
        <w:jc w:val="both"/>
        <w:rPr>
          <w:rFonts w:ascii="Arial" w:hAnsi="Arial" w:cs="Arial"/>
          <w:color w:val="3A3A3A"/>
          <w:shd w:val="clear" w:color="auto" w:fill="FFFFFF"/>
        </w:rPr>
      </w:pPr>
      <w:r>
        <w:rPr>
          <w:rFonts w:ascii="Arial" w:hAnsi="Arial" w:cs="Arial"/>
          <w:color w:val="3A3A3A"/>
          <w:shd w:val="clear" w:color="auto" w:fill="FFFFFF"/>
        </w:rPr>
        <w:t>(…)</w:t>
      </w:r>
    </w:p>
    <w:p w:rsidR="00531EAF" w:rsidRDefault="00531EAF" w:rsidP="00531EAF">
      <w:pPr>
        <w:jc w:val="both"/>
        <w:rPr>
          <w:rFonts w:ascii="Arial" w:hAnsi="Arial" w:cs="Arial"/>
          <w:color w:val="3A3A3A"/>
          <w:shd w:val="clear" w:color="auto" w:fill="FFFFFF"/>
        </w:rPr>
      </w:pPr>
    </w:p>
    <w:p w:rsidR="00531EAF" w:rsidRDefault="00531EAF" w:rsidP="00531EAF">
      <w:pPr>
        <w:jc w:val="both"/>
        <w:rPr>
          <w:rFonts w:ascii="Arial" w:hAnsi="Arial" w:cs="Arial"/>
          <w:color w:val="3A3A3A"/>
        </w:rPr>
      </w:pPr>
      <w:r>
        <w:rPr>
          <w:rFonts w:ascii="Arial" w:hAnsi="Arial" w:cs="Arial"/>
          <w:color w:val="3A3A3A"/>
          <w:shd w:val="clear" w:color="auto" w:fill="FFFFFF"/>
        </w:rPr>
        <w:t>Réponse de la Cour</w:t>
      </w:r>
      <w:r>
        <w:rPr>
          <w:rStyle w:val="apple-converted-space"/>
          <w:rFonts w:ascii="Arial" w:hAnsi="Arial" w:cs="Arial"/>
          <w:color w:val="3A3A3A"/>
          <w:shd w:val="clear" w:color="auto" w:fill="FFFFFF"/>
        </w:rPr>
        <w:t> </w:t>
      </w:r>
    </w:p>
    <w:p w:rsidR="00531EAF" w:rsidRDefault="00531EAF" w:rsidP="00531EAF">
      <w:pPr>
        <w:jc w:val="both"/>
        <w:rPr>
          <w:rFonts w:ascii="Arial" w:hAnsi="Arial" w:cs="Arial"/>
          <w:color w:val="3A3A3A"/>
          <w:shd w:val="clear" w:color="auto" w:fill="FFFFFF"/>
        </w:rPr>
      </w:pPr>
    </w:p>
    <w:p w:rsidR="00531EAF" w:rsidRDefault="00531EAF" w:rsidP="00531EAF">
      <w:pPr>
        <w:jc w:val="both"/>
        <w:rPr>
          <w:rFonts w:ascii="Arial" w:hAnsi="Arial" w:cs="Arial"/>
          <w:color w:val="3A3A3A"/>
        </w:rPr>
      </w:pPr>
      <w:r>
        <w:rPr>
          <w:rFonts w:ascii="Arial" w:hAnsi="Arial" w:cs="Arial"/>
          <w:color w:val="3A3A3A"/>
          <w:shd w:val="clear" w:color="auto" w:fill="FFFFFF"/>
        </w:rPr>
        <w:t>7. Selon l'article L. 133-21 du code monétaire et financier, qui transpose l'article 88, intitulé « identifiants uniques inexacts » de la directive (UE) 2015/2366 du Parlement européen et du Conseil du 25 novembre 2015, un ordre de paiement exécuté conformément à l'identifiant unique fourni par l'utilisateur du service de paiement est réputé dûment exécuté pour ce qui concerne le bénéficiaire désigné par l'identifiant unique. Si l'identifiant unique fourni par l'utilisateur du service de paiement est inexact, le prestataire de services de paiement n'est pas responsable de la mauvaise exécution ou de la non-exécution de l'opération de paiement.</w:t>
      </w:r>
    </w:p>
    <w:p w:rsidR="00531EAF" w:rsidRDefault="00531EAF" w:rsidP="00531EAF">
      <w:pPr>
        <w:jc w:val="both"/>
        <w:rPr>
          <w:rFonts w:ascii="Arial" w:hAnsi="Arial" w:cs="Arial"/>
          <w:color w:val="3A3A3A"/>
          <w:shd w:val="clear" w:color="auto" w:fill="FFFFFF"/>
        </w:rPr>
      </w:pPr>
    </w:p>
    <w:p w:rsidR="00531EAF" w:rsidRDefault="00531EAF" w:rsidP="00531EAF">
      <w:pPr>
        <w:jc w:val="both"/>
        <w:rPr>
          <w:rFonts w:ascii="Arial" w:hAnsi="Arial" w:cs="Arial"/>
          <w:color w:val="3A3A3A"/>
        </w:rPr>
      </w:pPr>
      <w:r>
        <w:rPr>
          <w:rFonts w:ascii="Arial" w:hAnsi="Arial" w:cs="Arial"/>
          <w:color w:val="3A3A3A"/>
          <w:shd w:val="clear" w:color="auto" w:fill="FFFFFF"/>
        </w:rPr>
        <w:t>8. La Cour de justice de l'Union européenne, dans son arrêt du 2 septembre 2021, CRCAM (C-337/20, point 36), a énoncé que « le régime harmonisé de responsabilité pour les opérations non autorisées ou mal exécutées établi par la directive (...) ne saurait être concurrencé par un régime alternatif de responsabilité prévu par le droit national reposant sur les mêmes faits et le même fondement qu'à condition de ne pas porter préjudice au régime ainsi harmonisé et de ne pas porter atteinte aux objectifs et à l'effet utile de cette directive ».</w:t>
      </w:r>
      <w:r>
        <w:rPr>
          <w:rStyle w:val="apple-converted-space"/>
          <w:rFonts w:ascii="Arial" w:hAnsi="Arial" w:cs="Arial"/>
          <w:color w:val="3A3A3A"/>
          <w:shd w:val="clear" w:color="auto" w:fill="FFFFFF"/>
        </w:rPr>
        <w:t> </w:t>
      </w:r>
    </w:p>
    <w:p w:rsidR="00531EAF" w:rsidRDefault="00531EAF" w:rsidP="00531EAF">
      <w:pPr>
        <w:jc w:val="both"/>
        <w:rPr>
          <w:rFonts w:ascii="Arial" w:hAnsi="Arial" w:cs="Arial"/>
          <w:color w:val="3A3A3A"/>
          <w:shd w:val="clear" w:color="auto" w:fill="FFFFFF"/>
        </w:rPr>
      </w:pPr>
    </w:p>
    <w:p w:rsidR="00531EAF" w:rsidRDefault="00531EAF" w:rsidP="00531EAF">
      <w:pPr>
        <w:jc w:val="both"/>
        <w:rPr>
          <w:rFonts w:ascii="Arial" w:hAnsi="Arial" w:cs="Arial"/>
          <w:color w:val="3A3A3A"/>
        </w:rPr>
      </w:pPr>
      <w:r>
        <w:rPr>
          <w:rFonts w:ascii="Arial" w:hAnsi="Arial" w:cs="Arial"/>
          <w:color w:val="3A3A3A"/>
          <w:shd w:val="clear" w:color="auto" w:fill="FFFFFF"/>
        </w:rPr>
        <w:t>9. En conséquence, si la responsabilité contractuelle de droit commun fondée sur l'article 1231-1 du code civil n'est pas applicable à l'exécution par le prestataire de services de paiement d'un ordre de paiement conformément à l'identifiant unique fourni par l'utilisateur, tel n'est pas le cas lorsque le prestataire de services de paiement ne s'est pas borné à exécuter l'ordre de paiement.</w:t>
      </w:r>
    </w:p>
    <w:p w:rsidR="00531EAF" w:rsidRDefault="00531EAF" w:rsidP="00531EAF">
      <w:pPr>
        <w:jc w:val="both"/>
        <w:rPr>
          <w:rFonts w:ascii="Arial" w:hAnsi="Arial" w:cs="Arial"/>
          <w:color w:val="3A3A3A"/>
          <w:shd w:val="clear" w:color="auto" w:fill="FFFFFF"/>
        </w:rPr>
      </w:pPr>
    </w:p>
    <w:p w:rsidR="00531EAF" w:rsidRDefault="00531EAF" w:rsidP="00531EAF">
      <w:pPr>
        <w:jc w:val="both"/>
        <w:rPr>
          <w:rFonts w:ascii="Arial" w:hAnsi="Arial" w:cs="Arial"/>
          <w:color w:val="3A3A3A"/>
        </w:rPr>
      </w:pPr>
      <w:r>
        <w:rPr>
          <w:rFonts w:ascii="Arial" w:hAnsi="Arial" w:cs="Arial"/>
          <w:color w:val="3A3A3A"/>
          <w:shd w:val="clear" w:color="auto" w:fill="FFFFFF"/>
        </w:rPr>
        <w:t xml:space="preserve">10. Après avoir retenu que l'identité bancaire figurant sur l'ordre de paiement établi par la banque pour être ensuite soumis à la signature de M. et Mme [K] comportait des incohérences apparentes et manifestes qui ne pouvaient laisser aucun doute, pour un professionnel normalement diligent, sur le fait que l'identifiant était un faux grossier, la cour d'appel en a exactement déduit, par motifs propres et adoptés, que, la banque ne s'étant pas bornée, en sa qualité de prestataire de services de paiement, à exécuter un ordre de virement conformément à l'identifiant unique fourni par M. et Mme [K], </w:t>
      </w:r>
      <w:r>
        <w:rPr>
          <w:rFonts w:ascii="Arial" w:hAnsi="Arial" w:cs="Arial"/>
          <w:color w:val="3A3A3A"/>
          <w:shd w:val="clear" w:color="auto" w:fill="FFFFFF"/>
        </w:rPr>
        <w:lastRenderedPageBreak/>
        <w:t>mais avait elle-même rédigé cet ordre, cette dernière était tenue d'indemniser, sur le fondement du droit commun, ses clients du préjudice causé par ce manquement à son devoir de vigilance.</w:t>
      </w:r>
    </w:p>
    <w:p w:rsidR="00531EAF" w:rsidRDefault="00531EAF" w:rsidP="00531EAF">
      <w:pPr>
        <w:jc w:val="both"/>
        <w:rPr>
          <w:rFonts w:ascii="Arial" w:hAnsi="Arial" w:cs="Arial"/>
          <w:color w:val="3A3A3A"/>
          <w:shd w:val="clear" w:color="auto" w:fill="FFFFFF"/>
        </w:rPr>
      </w:pPr>
    </w:p>
    <w:p w:rsidR="00531EAF" w:rsidRDefault="00531EAF" w:rsidP="00531EAF">
      <w:pPr>
        <w:jc w:val="both"/>
        <w:rPr>
          <w:rFonts w:ascii="Arial" w:hAnsi="Arial" w:cs="Arial"/>
          <w:color w:val="3A3A3A"/>
        </w:rPr>
      </w:pPr>
      <w:r>
        <w:rPr>
          <w:rFonts w:ascii="Arial" w:hAnsi="Arial" w:cs="Arial"/>
          <w:color w:val="3A3A3A"/>
          <w:shd w:val="clear" w:color="auto" w:fill="FFFFFF"/>
        </w:rPr>
        <w:t>11. Le moyen n'est donc pas fondé.</w:t>
      </w:r>
      <w:r>
        <w:rPr>
          <w:rStyle w:val="apple-converted-space"/>
          <w:rFonts w:ascii="Arial" w:hAnsi="Arial" w:cs="Arial"/>
          <w:color w:val="3A3A3A"/>
          <w:shd w:val="clear" w:color="auto" w:fill="FFFFFF"/>
        </w:rPr>
        <w:t> </w:t>
      </w:r>
    </w:p>
    <w:p w:rsidR="00531EAF" w:rsidRDefault="00531EAF" w:rsidP="00531EAF">
      <w:pPr>
        <w:jc w:val="both"/>
        <w:rPr>
          <w:rFonts w:ascii="Arial" w:hAnsi="Arial" w:cs="Arial"/>
          <w:color w:val="3A3A3A"/>
          <w:shd w:val="clear" w:color="auto" w:fill="FFFFFF"/>
        </w:rPr>
      </w:pPr>
    </w:p>
    <w:p w:rsidR="00531EAF" w:rsidRDefault="00531EAF" w:rsidP="00531EAF">
      <w:pPr>
        <w:jc w:val="both"/>
        <w:rPr>
          <w:rFonts w:ascii="Arial" w:hAnsi="Arial" w:cs="Arial"/>
          <w:color w:val="3A3A3A"/>
        </w:rPr>
      </w:pPr>
      <w:r>
        <w:rPr>
          <w:rFonts w:ascii="Arial" w:hAnsi="Arial" w:cs="Arial"/>
          <w:color w:val="3A3A3A"/>
          <w:shd w:val="clear" w:color="auto" w:fill="FFFFFF"/>
        </w:rPr>
        <w:t>PAR CES MOTIFS, la Cour :</w:t>
      </w:r>
    </w:p>
    <w:p w:rsidR="00531EAF" w:rsidRDefault="00531EAF" w:rsidP="00531EAF">
      <w:pPr>
        <w:jc w:val="both"/>
        <w:rPr>
          <w:rFonts w:ascii="Arial" w:hAnsi="Arial" w:cs="Arial"/>
          <w:color w:val="3A3A3A"/>
          <w:shd w:val="clear" w:color="auto" w:fill="FFFFFF"/>
        </w:rPr>
      </w:pPr>
    </w:p>
    <w:p w:rsidR="00531EAF" w:rsidRPr="00531EAF" w:rsidRDefault="00531EAF" w:rsidP="00531EAF">
      <w:pPr>
        <w:jc w:val="both"/>
        <w:rPr>
          <w:rFonts w:ascii="Arial" w:hAnsi="Arial" w:cs="Arial"/>
          <w:color w:val="3A3A3A"/>
          <w:shd w:val="clear" w:color="auto" w:fill="FFFFFF"/>
        </w:rPr>
      </w:pPr>
      <w:r>
        <w:rPr>
          <w:rFonts w:ascii="Arial" w:hAnsi="Arial" w:cs="Arial"/>
          <w:color w:val="3A3A3A"/>
          <w:shd w:val="clear" w:color="auto" w:fill="FFFFFF"/>
        </w:rPr>
        <w:t>REJETTE le pourvoi ;</w:t>
      </w:r>
    </w:p>
    <w:p w:rsidR="002C664B" w:rsidRDefault="002C664B" w:rsidP="00531EAF">
      <w:pPr>
        <w:jc w:val="both"/>
        <w:rPr>
          <w:color w:val="000000"/>
        </w:rPr>
      </w:pPr>
    </w:p>
    <w:p w:rsidR="002C664B" w:rsidRDefault="002C664B" w:rsidP="004117CA">
      <w:pPr>
        <w:jc w:val="both"/>
        <w:rPr>
          <w:color w:val="000000"/>
          <w:shd w:val="clear" w:color="auto" w:fill="FFFFFF"/>
        </w:rPr>
      </w:pPr>
    </w:p>
    <w:p w:rsidR="004117CA" w:rsidRPr="00B4232C" w:rsidRDefault="004117CA" w:rsidP="00B4232C">
      <w:pPr>
        <w:jc w:val="both"/>
        <w:rPr>
          <w:color w:val="000000"/>
        </w:rPr>
      </w:pPr>
      <w:r w:rsidRPr="00E929EE">
        <w:rPr>
          <w:b/>
          <w:u w:val="single"/>
        </w:rPr>
        <w:t>Fiches d’arrêts à préparer (penser à dégager une problématique)</w:t>
      </w:r>
    </w:p>
    <w:p w:rsidR="004117CA" w:rsidRDefault="004117CA" w:rsidP="004117CA">
      <w:pPr>
        <w:jc w:val="both"/>
      </w:pPr>
    </w:p>
    <w:p w:rsidR="004117CA" w:rsidRPr="002C664B" w:rsidRDefault="004117CA" w:rsidP="004117CA">
      <w:pPr>
        <w:jc w:val="both"/>
        <w:rPr>
          <w:b/>
        </w:rPr>
      </w:pPr>
      <w:r w:rsidRPr="002C664B">
        <w:rPr>
          <w:b/>
        </w:rPr>
        <w:t>Exclusivité</w:t>
      </w:r>
    </w:p>
    <w:p w:rsidR="004117CA" w:rsidRPr="002C664B" w:rsidRDefault="004117CA" w:rsidP="004117CA">
      <w:pPr>
        <w:jc w:val="both"/>
        <w:rPr>
          <w:b/>
        </w:rPr>
      </w:pPr>
    </w:p>
    <w:p w:rsidR="004117CA" w:rsidRPr="002C664B" w:rsidRDefault="004117CA" w:rsidP="004117CA">
      <w:pPr>
        <w:rPr>
          <w:b/>
        </w:rPr>
      </w:pPr>
      <w:r w:rsidRPr="002C664B">
        <w:rPr>
          <w:b/>
        </w:rPr>
        <w:t>-</w:t>
      </w:r>
      <w:proofErr w:type="spellStart"/>
      <w:r w:rsidRPr="002C664B">
        <w:rPr>
          <w:b/>
        </w:rPr>
        <w:t>Cass</w:t>
      </w:r>
      <w:proofErr w:type="spellEnd"/>
      <w:r w:rsidRPr="002C664B">
        <w:rPr>
          <w:b/>
        </w:rPr>
        <w:t>. com., 12 juin 2025, n° 24-13.697</w:t>
      </w:r>
    </w:p>
    <w:p w:rsidR="004117CA" w:rsidRPr="002C664B" w:rsidRDefault="004117CA" w:rsidP="002C664B">
      <w:pPr>
        <w:jc w:val="both"/>
        <w:rPr>
          <w:b/>
        </w:rPr>
      </w:pPr>
    </w:p>
    <w:p w:rsidR="002C664B" w:rsidRDefault="002C664B" w:rsidP="002C664B">
      <w:pPr>
        <w:jc w:val="both"/>
        <w:rPr>
          <w:color w:val="000000"/>
        </w:rPr>
      </w:pPr>
      <w:r w:rsidRPr="002C664B">
        <w:rPr>
          <w:color w:val="000000"/>
          <w:shd w:val="clear" w:color="auto" w:fill="FFFFFF"/>
        </w:rPr>
        <w:t>Faits et procédure</w:t>
      </w:r>
      <w:r w:rsidRPr="002C664B">
        <w:rPr>
          <w:rStyle w:val="apple-converted-space"/>
          <w:color w:val="000000"/>
          <w:shd w:val="clear" w:color="auto" w:fill="FFFFFF"/>
        </w:rPr>
        <w:t> </w:t>
      </w:r>
    </w:p>
    <w:p w:rsidR="002C664B" w:rsidRDefault="002C664B" w:rsidP="002C664B">
      <w:pPr>
        <w:jc w:val="both"/>
        <w:rPr>
          <w:color w:val="000000"/>
          <w:shd w:val="clear" w:color="auto" w:fill="FFFFFF"/>
        </w:rPr>
      </w:pPr>
    </w:p>
    <w:p w:rsidR="002C664B" w:rsidRDefault="002C664B" w:rsidP="002C664B">
      <w:pPr>
        <w:jc w:val="both"/>
        <w:rPr>
          <w:color w:val="000000"/>
        </w:rPr>
      </w:pPr>
      <w:r w:rsidRPr="002C664B">
        <w:rPr>
          <w:color w:val="000000"/>
          <w:shd w:val="clear" w:color="auto" w:fill="FFFFFF"/>
        </w:rPr>
        <w:t xml:space="preserve">1. Selon l'arrêt attaqué (Angers, 23 janvier 2024), la société Ouest </w:t>
      </w:r>
      <w:proofErr w:type="spellStart"/>
      <w:r w:rsidRPr="002C664B">
        <w:rPr>
          <w:color w:val="000000"/>
          <w:shd w:val="clear" w:color="auto" w:fill="FFFFFF"/>
        </w:rPr>
        <w:t>Acro</w:t>
      </w:r>
      <w:proofErr w:type="spellEnd"/>
      <w:r w:rsidRPr="002C664B">
        <w:rPr>
          <w:color w:val="000000"/>
          <w:shd w:val="clear" w:color="auto" w:fill="FFFFFF"/>
        </w:rPr>
        <w:t xml:space="preserve"> (la société), titulaire d'un compte ouvert dans les livres de la caisse fédérale du Crédit mutuel de Maine Anjou Basse Normandie (la banque), a signé une extension de contrat de banque à distance donnant mandat à la société Bara Investissement pour régir et administrer l'ensemble de ses comptes bancaires.</w:t>
      </w:r>
    </w:p>
    <w:p w:rsidR="002C664B" w:rsidRDefault="002C664B" w:rsidP="002C664B">
      <w:pPr>
        <w:jc w:val="both"/>
        <w:rPr>
          <w:color w:val="000000"/>
          <w:shd w:val="clear" w:color="auto" w:fill="FFFFFF"/>
        </w:rPr>
      </w:pPr>
    </w:p>
    <w:p w:rsidR="002C664B" w:rsidRDefault="002C664B" w:rsidP="002C664B">
      <w:pPr>
        <w:jc w:val="both"/>
        <w:rPr>
          <w:color w:val="000000"/>
        </w:rPr>
      </w:pPr>
      <w:r w:rsidRPr="002C664B">
        <w:rPr>
          <w:color w:val="000000"/>
          <w:shd w:val="clear" w:color="auto" w:fill="FFFFFF"/>
        </w:rPr>
        <w:t>2. Le 13 mars 2020, la société a découvert qu'un salarié de la société Bara Investissement avait ordonné onze virements à la suite d'une escroquerie dite « au président »</w:t>
      </w:r>
    </w:p>
    <w:p w:rsidR="002C664B" w:rsidRDefault="002C664B" w:rsidP="002C664B">
      <w:pPr>
        <w:jc w:val="both"/>
        <w:rPr>
          <w:color w:val="000000"/>
          <w:shd w:val="clear" w:color="auto" w:fill="FFFFFF"/>
        </w:rPr>
      </w:pPr>
    </w:p>
    <w:p w:rsidR="002C664B" w:rsidRDefault="002C664B" w:rsidP="002C664B">
      <w:pPr>
        <w:jc w:val="both"/>
        <w:rPr>
          <w:color w:val="000000"/>
        </w:rPr>
      </w:pPr>
      <w:r w:rsidRPr="002C664B">
        <w:rPr>
          <w:color w:val="000000"/>
          <w:shd w:val="clear" w:color="auto" w:fill="FFFFFF"/>
        </w:rPr>
        <w:t>Examen des moyens</w:t>
      </w:r>
      <w:r w:rsidRPr="002C664B">
        <w:rPr>
          <w:rStyle w:val="apple-converted-space"/>
          <w:color w:val="000000"/>
          <w:shd w:val="clear" w:color="auto" w:fill="FFFFFF"/>
        </w:rPr>
        <w:t> </w:t>
      </w:r>
    </w:p>
    <w:p w:rsidR="002C664B" w:rsidRDefault="002C664B" w:rsidP="002C664B">
      <w:pPr>
        <w:jc w:val="both"/>
        <w:rPr>
          <w:color w:val="000000"/>
          <w:shd w:val="clear" w:color="auto" w:fill="FFFFFF"/>
        </w:rPr>
      </w:pPr>
    </w:p>
    <w:p w:rsidR="002C664B" w:rsidRDefault="002C664B" w:rsidP="002C664B">
      <w:pPr>
        <w:jc w:val="both"/>
        <w:rPr>
          <w:color w:val="000000"/>
        </w:rPr>
      </w:pPr>
      <w:r w:rsidRPr="002C664B">
        <w:rPr>
          <w:color w:val="000000"/>
          <w:shd w:val="clear" w:color="auto" w:fill="FFFFFF"/>
        </w:rPr>
        <w:t>Sur le moyen unique du pourvoi incident</w:t>
      </w:r>
      <w:r w:rsidRPr="002C664B">
        <w:rPr>
          <w:rStyle w:val="apple-converted-space"/>
          <w:color w:val="000000"/>
          <w:shd w:val="clear" w:color="auto" w:fill="FFFFFF"/>
        </w:rPr>
        <w:t> </w:t>
      </w:r>
    </w:p>
    <w:p w:rsidR="002C664B" w:rsidRDefault="002C664B" w:rsidP="002C664B">
      <w:pPr>
        <w:jc w:val="both"/>
        <w:rPr>
          <w:color w:val="000000"/>
          <w:shd w:val="clear" w:color="auto" w:fill="FFFFFF"/>
        </w:rPr>
      </w:pPr>
    </w:p>
    <w:p w:rsidR="002C664B" w:rsidRDefault="002C664B" w:rsidP="002C664B">
      <w:pPr>
        <w:jc w:val="both"/>
        <w:rPr>
          <w:color w:val="000000"/>
        </w:rPr>
      </w:pPr>
      <w:r w:rsidRPr="002C664B">
        <w:rPr>
          <w:color w:val="000000"/>
          <w:shd w:val="clear" w:color="auto" w:fill="FFFFFF"/>
        </w:rPr>
        <w:t>3. En application de l'article 1014, alinéa 2, du code de procédure civile, il n'y a pas lieu de statuer par une décision spécialement motivée sur ce moyen qui n'est manifestement pas de nature à entraîner la cassation.</w:t>
      </w:r>
    </w:p>
    <w:p w:rsidR="002C664B" w:rsidRDefault="002C664B" w:rsidP="002C664B">
      <w:pPr>
        <w:jc w:val="both"/>
        <w:rPr>
          <w:color w:val="000000"/>
          <w:shd w:val="clear" w:color="auto" w:fill="FFFFFF"/>
        </w:rPr>
      </w:pPr>
    </w:p>
    <w:p w:rsidR="002C664B" w:rsidRDefault="002C664B" w:rsidP="002C664B">
      <w:pPr>
        <w:jc w:val="both"/>
        <w:rPr>
          <w:color w:val="000000"/>
        </w:rPr>
      </w:pPr>
      <w:r w:rsidRPr="002C664B">
        <w:rPr>
          <w:color w:val="000000"/>
          <w:shd w:val="clear" w:color="auto" w:fill="FFFFFF"/>
        </w:rPr>
        <w:t>Sur le premier moyen du pourvoi principal</w:t>
      </w:r>
    </w:p>
    <w:p w:rsidR="002C664B" w:rsidRDefault="002C664B" w:rsidP="002C664B">
      <w:pPr>
        <w:jc w:val="both"/>
        <w:rPr>
          <w:color w:val="000000"/>
          <w:shd w:val="clear" w:color="auto" w:fill="FFFFFF"/>
        </w:rPr>
      </w:pPr>
    </w:p>
    <w:p w:rsidR="002C664B" w:rsidRDefault="002C664B" w:rsidP="002C664B">
      <w:pPr>
        <w:jc w:val="both"/>
        <w:rPr>
          <w:color w:val="000000"/>
        </w:rPr>
      </w:pPr>
      <w:proofErr w:type="spellStart"/>
      <w:r w:rsidRPr="002C664B">
        <w:rPr>
          <w:color w:val="000000"/>
          <w:shd w:val="clear" w:color="auto" w:fill="FFFFFF"/>
        </w:rPr>
        <w:t>Enoncé</w:t>
      </w:r>
      <w:proofErr w:type="spellEnd"/>
      <w:r w:rsidRPr="002C664B">
        <w:rPr>
          <w:color w:val="000000"/>
          <w:shd w:val="clear" w:color="auto" w:fill="FFFFFF"/>
        </w:rPr>
        <w:t xml:space="preserve"> du moyen</w:t>
      </w:r>
    </w:p>
    <w:p w:rsidR="002C664B" w:rsidRDefault="002C664B" w:rsidP="002C664B">
      <w:pPr>
        <w:jc w:val="both"/>
        <w:rPr>
          <w:color w:val="000000"/>
          <w:shd w:val="clear" w:color="auto" w:fill="FFFFFF"/>
        </w:rPr>
      </w:pPr>
    </w:p>
    <w:p w:rsidR="002C664B" w:rsidRDefault="002C664B" w:rsidP="002C664B">
      <w:pPr>
        <w:jc w:val="both"/>
        <w:rPr>
          <w:color w:val="000000"/>
        </w:rPr>
      </w:pPr>
      <w:r w:rsidRPr="002C664B">
        <w:rPr>
          <w:color w:val="000000"/>
          <w:shd w:val="clear" w:color="auto" w:fill="FFFFFF"/>
        </w:rPr>
        <w:t xml:space="preserve">4. La banque fait grief à l'arrêt de la condamner à payer à la société une certaine somme à titre de dommages et intérêts, alors « que dès lors que la responsabilité d'un prestataire de services de paiement est recherchée en raison d'une opération de paiement relevant des articles L. 133-1 et suivants du code monétaire et financier, qui transposent la directive 2015/2366 du 25 novembre 2015 concernant les services de paiement dans le marché intérieur, seul est applicable le régime de responsabilité défini aux articles L. 133-18 et suivants du code monétaire et financier, à l'exclusion de tout régime alternatif de responsabilité résultant du droit national ; qu'en l'espèce, après avoir considéré que les opérations litigieuses avaient été dûment autorisées par la société, de sorte que la demande fondée sur les articles L. 133-18 et L. 133-23 du code monétaire et financier ne pouvait être accueillie, la cour d'appel a énoncé qu'il restait à déterminer si la banque n'avait pas néanmoins manqué à son devoir de vigilance au vu des </w:t>
      </w:r>
      <w:r w:rsidRPr="002C664B">
        <w:rPr>
          <w:color w:val="000000"/>
          <w:shd w:val="clear" w:color="auto" w:fill="FFFFFF"/>
        </w:rPr>
        <w:lastRenderedPageBreak/>
        <w:t>circonstances et que le fait d'avoir exécuté des ordres de virement transmis par le système télématique, formellement réguliers, reçus au travers d'une relation sécurisée destiné à éviter les risques de fraude, ne l'exonérait pas de toute responsabilité, et a considéré que la banque avait manqué à son devoir de vigilance ; qu'en statuant ainsi, la cour d'appel a violé l'article 1147, devenu 1231-1, du code civil, ensemble les articles L. 133-18 à L. 133-24 du code monétaire et financier, dans leur rédaction postérieure à la transposition de la directive 2015/2366 du 25 novembre 2015. »</w:t>
      </w:r>
    </w:p>
    <w:p w:rsidR="002C664B" w:rsidRDefault="002C664B" w:rsidP="002C664B">
      <w:pPr>
        <w:jc w:val="both"/>
        <w:rPr>
          <w:color w:val="000000"/>
          <w:shd w:val="clear" w:color="auto" w:fill="FFFFFF"/>
        </w:rPr>
      </w:pPr>
    </w:p>
    <w:p w:rsidR="002C664B" w:rsidRDefault="002C664B" w:rsidP="002C664B">
      <w:pPr>
        <w:jc w:val="both"/>
        <w:rPr>
          <w:color w:val="000000"/>
        </w:rPr>
      </w:pPr>
      <w:r w:rsidRPr="002C664B">
        <w:rPr>
          <w:color w:val="000000"/>
          <w:shd w:val="clear" w:color="auto" w:fill="FFFFFF"/>
        </w:rPr>
        <w:t>Réponse de la Cour</w:t>
      </w:r>
      <w:r w:rsidRPr="002C664B">
        <w:rPr>
          <w:rStyle w:val="apple-converted-space"/>
          <w:color w:val="000000"/>
          <w:shd w:val="clear" w:color="auto" w:fill="FFFFFF"/>
        </w:rPr>
        <w:t> </w:t>
      </w:r>
    </w:p>
    <w:p w:rsidR="002C664B" w:rsidRDefault="002C664B" w:rsidP="002C664B">
      <w:pPr>
        <w:jc w:val="both"/>
        <w:rPr>
          <w:color w:val="000000"/>
          <w:shd w:val="clear" w:color="auto" w:fill="FFFFFF"/>
        </w:rPr>
      </w:pPr>
    </w:p>
    <w:p w:rsidR="002C664B" w:rsidRDefault="002C664B" w:rsidP="002C664B">
      <w:pPr>
        <w:jc w:val="both"/>
        <w:rPr>
          <w:color w:val="000000"/>
        </w:rPr>
      </w:pPr>
      <w:r w:rsidRPr="002C664B">
        <w:rPr>
          <w:color w:val="000000"/>
          <w:shd w:val="clear" w:color="auto" w:fill="FFFFFF"/>
        </w:rPr>
        <w:t>5. Après avoir retenu que les opérations de paiements avaient été autorisées, l'arrêt en déduit à bon droit que si la responsabilité de la banque ne pouvait pas être recherchée sur le fondement des articles L. 133-18 et L. 133-23 du code monétaire et financier, elle pouvait l'être en cas de manquement à son obligation de vigilance.</w:t>
      </w:r>
      <w:r w:rsidRPr="002C664B">
        <w:rPr>
          <w:rStyle w:val="apple-converted-space"/>
          <w:color w:val="000000"/>
          <w:shd w:val="clear" w:color="auto" w:fill="FFFFFF"/>
        </w:rPr>
        <w:t> </w:t>
      </w:r>
    </w:p>
    <w:p w:rsidR="002C664B" w:rsidRDefault="002C664B" w:rsidP="002C664B">
      <w:pPr>
        <w:jc w:val="both"/>
        <w:rPr>
          <w:color w:val="000000"/>
          <w:shd w:val="clear" w:color="auto" w:fill="FFFFFF"/>
        </w:rPr>
      </w:pPr>
    </w:p>
    <w:p w:rsidR="002C664B" w:rsidRDefault="002C664B" w:rsidP="002C664B">
      <w:pPr>
        <w:jc w:val="both"/>
        <w:rPr>
          <w:color w:val="000000"/>
        </w:rPr>
      </w:pPr>
      <w:r w:rsidRPr="002C664B">
        <w:rPr>
          <w:color w:val="000000"/>
          <w:shd w:val="clear" w:color="auto" w:fill="FFFFFF"/>
        </w:rPr>
        <w:t>6. Le moyen n'est donc pas fondé.</w:t>
      </w:r>
    </w:p>
    <w:p w:rsidR="002C664B" w:rsidRDefault="002C664B" w:rsidP="002C664B">
      <w:pPr>
        <w:jc w:val="both"/>
        <w:rPr>
          <w:color w:val="000000"/>
          <w:shd w:val="clear" w:color="auto" w:fill="FFFFFF"/>
        </w:rPr>
      </w:pPr>
    </w:p>
    <w:p w:rsidR="002C664B" w:rsidRDefault="002C664B" w:rsidP="002C664B">
      <w:pPr>
        <w:jc w:val="both"/>
        <w:rPr>
          <w:color w:val="000000"/>
        </w:rPr>
      </w:pPr>
      <w:r>
        <w:rPr>
          <w:color w:val="000000"/>
          <w:shd w:val="clear" w:color="auto" w:fill="FFFFFF"/>
        </w:rPr>
        <w:t>(…)</w:t>
      </w:r>
    </w:p>
    <w:p w:rsidR="002C664B" w:rsidRDefault="002C664B" w:rsidP="002C664B">
      <w:pPr>
        <w:jc w:val="both"/>
        <w:rPr>
          <w:b/>
        </w:rPr>
      </w:pPr>
    </w:p>
    <w:p w:rsidR="002C664B" w:rsidRPr="002C664B" w:rsidRDefault="002C664B" w:rsidP="002C664B">
      <w:pPr>
        <w:jc w:val="both"/>
        <w:rPr>
          <w:b/>
        </w:rPr>
      </w:pPr>
    </w:p>
    <w:p w:rsidR="004117CA" w:rsidRPr="002C664B" w:rsidRDefault="004117CA" w:rsidP="004117CA">
      <w:pPr>
        <w:rPr>
          <w:b/>
        </w:rPr>
      </w:pPr>
      <w:r w:rsidRPr="002C664B">
        <w:rPr>
          <w:b/>
        </w:rPr>
        <w:t>Forclusion</w:t>
      </w:r>
    </w:p>
    <w:p w:rsidR="004117CA" w:rsidRPr="002C664B" w:rsidRDefault="004117CA" w:rsidP="002C664B">
      <w:pPr>
        <w:jc w:val="both"/>
        <w:rPr>
          <w:b/>
        </w:rPr>
      </w:pPr>
    </w:p>
    <w:p w:rsidR="004117CA" w:rsidRPr="002C664B" w:rsidRDefault="004117CA" w:rsidP="002C664B">
      <w:pPr>
        <w:jc w:val="both"/>
        <w:rPr>
          <w:b/>
        </w:rPr>
      </w:pPr>
      <w:r w:rsidRPr="002C664B">
        <w:rPr>
          <w:b/>
        </w:rPr>
        <w:t>-</w:t>
      </w:r>
      <w:proofErr w:type="spellStart"/>
      <w:r w:rsidRPr="002C664B">
        <w:rPr>
          <w:b/>
        </w:rPr>
        <w:t>Cass</w:t>
      </w:r>
      <w:proofErr w:type="spellEnd"/>
      <w:r w:rsidRPr="002C664B">
        <w:rPr>
          <w:b/>
        </w:rPr>
        <w:t>. com., 2 juillet 2025, n° 24-16.590</w:t>
      </w:r>
    </w:p>
    <w:p w:rsidR="004117CA" w:rsidRPr="002C664B" w:rsidRDefault="004117CA" w:rsidP="002C664B">
      <w:pPr>
        <w:jc w:val="both"/>
        <w:rPr>
          <w:b/>
        </w:rPr>
      </w:pPr>
    </w:p>
    <w:p w:rsidR="002C664B" w:rsidRDefault="002C664B" w:rsidP="002C664B">
      <w:pPr>
        <w:jc w:val="both"/>
        <w:rPr>
          <w:color w:val="000000"/>
        </w:rPr>
      </w:pPr>
      <w:r w:rsidRPr="002C664B">
        <w:rPr>
          <w:color w:val="000000"/>
          <w:shd w:val="clear" w:color="auto" w:fill="FFFFFF"/>
        </w:rPr>
        <w:t>Faits et procédure</w:t>
      </w:r>
      <w:r w:rsidRPr="002C664B">
        <w:rPr>
          <w:rStyle w:val="apple-converted-space"/>
          <w:color w:val="000000"/>
          <w:shd w:val="clear" w:color="auto" w:fill="FFFFFF"/>
        </w:rPr>
        <w:t> </w:t>
      </w:r>
    </w:p>
    <w:p w:rsidR="002C664B" w:rsidRDefault="002C664B" w:rsidP="002C664B">
      <w:pPr>
        <w:jc w:val="both"/>
        <w:rPr>
          <w:color w:val="000000"/>
          <w:shd w:val="clear" w:color="auto" w:fill="FFFFFF"/>
        </w:rPr>
      </w:pPr>
    </w:p>
    <w:p w:rsidR="002C664B" w:rsidRDefault="002C664B" w:rsidP="002C664B">
      <w:pPr>
        <w:jc w:val="both"/>
        <w:rPr>
          <w:color w:val="000000"/>
        </w:rPr>
      </w:pPr>
      <w:r w:rsidRPr="002C664B">
        <w:rPr>
          <w:color w:val="000000"/>
          <w:shd w:val="clear" w:color="auto" w:fill="FFFFFF"/>
        </w:rPr>
        <w:t>1. Selon l'arrêt attaqué (Douai, 21 mars 2024), les 5 et 6 mars 2019, deux virements ont été effectués à partir du compte ouvert par M. [W] dans les livres de la caisse de Crédit mutuel de [Localité 3] (la banque).</w:t>
      </w:r>
    </w:p>
    <w:p w:rsidR="002C664B" w:rsidRDefault="002C664B" w:rsidP="002C664B">
      <w:pPr>
        <w:jc w:val="both"/>
        <w:rPr>
          <w:color w:val="000000"/>
          <w:shd w:val="clear" w:color="auto" w:fill="FFFFFF"/>
        </w:rPr>
      </w:pPr>
    </w:p>
    <w:p w:rsidR="002C664B" w:rsidRDefault="002C664B" w:rsidP="002C664B">
      <w:pPr>
        <w:jc w:val="both"/>
        <w:rPr>
          <w:color w:val="000000"/>
        </w:rPr>
      </w:pPr>
      <w:r w:rsidRPr="002C664B">
        <w:rPr>
          <w:color w:val="000000"/>
          <w:shd w:val="clear" w:color="auto" w:fill="FFFFFF"/>
        </w:rPr>
        <w:t>2. Le 7 mars 2019, M. [W] a notifié à la banque qu'il contestait être à l'origine de ces deux opérations et lui en a demandé le remboursement.</w:t>
      </w:r>
      <w:r w:rsidRPr="002C664B">
        <w:rPr>
          <w:rStyle w:val="apple-converted-space"/>
          <w:color w:val="000000"/>
          <w:shd w:val="clear" w:color="auto" w:fill="FFFFFF"/>
        </w:rPr>
        <w:t> </w:t>
      </w:r>
    </w:p>
    <w:p w:rsidR="002C664B" w:rsidRDefault="002C664B" w:rsidP="002C664B">
      <w:pPr>
        <w:jc w:val="both"/>
        <w:rPr>
          <w:color w:val="000000"/>
          <w:shd w:val="clear" w:color="auto" w:fill="FFFFFF"/>
        </w:rPr>
      </w:pPr>
    </w:p>
    <w:p w:rsidR="002C664B" w:rsidRDefault="002C664B" w:rsidP="002C664B">
      <w:pPr>
        <w:jc w:val="both"/>
        <w:rPr>
          <w:color w:val="000000"/>
        </w:rPr>
      </w:pPr>
      <w:r w:rsidRPr="002C664B">
        <w:rPr>
          <w:color w:val="000000"/>
          <w:shd w:val="clear" w:color="auto" w:fill="FFFFFF"/>
        </w:rPr>
        <w:t>3. La banque lui ayant opposé un refus, il l'a assignée en paiement le 21 décembre 2021.</w:t>
      </w:r>
    </w:p>
    <w:p w:rsidR="002C664B" w:rsidRDefault="002C664B" w:rsidP="002C664B">
      <w:pPr>
        <w:jc w:val="both"/>
        <w:rPr>
          <w:color w:val="000000"/>
          <w:shd w:val="clear" w:color="auto" w:fill="FFFFFF"/>
        </w:rPr>
      </w:pPr>
    </w:p>
    <w:p w:rsidR="002C664B" w:rsidRDefault="002C664B" w:rsidP="002C664B">
      <w:pPr>
        <w:jc w:val="both"/>
        <w:rPr>
          <w:color w:val="000000"/>
        </w:rPr>
      </w:pPr>
      <w:r w:rsidRPr="002C664B">
        <w:rPr>
          <w:color w:val="000000"/>
          <w:shd w:val="clear" w:color="auto" w:fill="FFFFFF"/>
        </w:rPr>
        <w:t>Examen du moyen</w:t>
      </w:r>
    </w:p>
    <w:p w:rsidR="002C664B" w:rsidRDefault="002C664B" w:rsidP="002C664B">
      <w:pPr>
        <w:jc w:val="both"/>
        <w:rPr>
          <w:color w:val="000000"/>
          <w:shd w:val="clear" w:color="auto" w:fill="FFFFFF"/>
        </w:rPr>
      </w:pPr>
    </w:p>
    <w:p w:rsidR="002C664B" w:rsidRDefault="002C664B" w:rsidP="002C664B">
      <w:pPr>
        <w:jc w:val="both"/>
        <w:rPr>
          <w:color w:val="000000"/>
        </w:rPr>
      </w:pPr>
      <w:proofErr w:type="spellStart"/>
      <w:r w:rsidRPr="002C664B">
        <w:rPr>
          <w:color w:val="000000"/>
          <w:shd w:val="clear" w:color="auto" w:fill="FFFFFF"/>
        </w:rPr>
        <w:t>Enoncé</w:t>
      </w:r>
      <w:proofErr w:type="spellEnd"/>
      <w:r w:rsidRPr="002C664B">
        <w:rPr>
          <w:color w:val="000000"/>
          <w:shd w:val="clear" w:color="auto" w:fill="FFFFFF"/>
        </w:rPr>
        <w:t xml:space="preserve"> du moyen</w:t>
      </w:r>
      <w:r w:rsidRPr="002C664B">
        <w:rPr>
          <w:rStyle w:val="apple-converted-space"/>
          <w:color w:val="000000"/>
          <w:shd w:val="clear" w:color="auto" w:fill="FFFFFF"/>
        </w:rPr>
        <w:t> </w:t>
      </w:r>
    </w:p>
    <w:p w:rsidR="002C664B" w:rsidRDefault="002C664B" w:rsidP="002C664B">
      <w:pPr>
        <w:jc w:val="both"/>
        <w:rPr>
          <w:color w:val="000000"/>
          <w:shd w:val="clear" w:color="auto" w:fill="FFFFFF"/>
        </w:rPr>
      </w:pPr>
    </w:p>
    <w:p w:rsidR="002C664B" w:rsidRDefault="002C664B" w:rsidP="002C664B">
      <w:pPr>
        <w:jc w:val="both"/>
        <w:rPr>
          <w:color w:val="000000"/>
        </w:rPr>
      </w:pPr>
      <w:r w:rsidRPr="002C664B">
        <w:rPr>
          <w:color w:val="000000"/>
          <w:shd w:val="clear" w:color="auto" w:fill="FFFFFF"/>
        </w:rPr>
        <w:t xml:space="preserve">4. M. [W] fait grief à l'arrêt attaqué de déclarer son action irrecevable, alors « qu'il résulte de l'article L. 133-24 du code monétaire et financier que l'utilisateur de services de paiement signale, sans tarder, à son prestataire de services de paiement une opération de paiement non autorisée ou mal exécutée et au plus tard dans les treize mois suivant la date de débit sous peine de forclusion à moins que le prestataire de services de paiement ne lui ait pas fourni ou n'ait pas mis à sa disposition les informations relatives à cette opération de paiement conformément au chapitre IV du titre 1er du livre III ; qu'en l'espèce, il est constant que le 7 mars 2019, il a formé opposition à deux opérations au débit de ses comptes bancaires réalisées dans la nuit du 5 au 6 mars 2019 pour des montants de 7 314,00 euros et 3 717,00 euros en déclarant ne pas en être à l'origine, et qu'il a ensuite, le 8 mars 2019, informé son agence bancaire de ces opérations frauduleuses, et lui a demandé le remboursement des sommes indûment prélevées ; qu'en le </w:t>
      </w:r>
      <w:r w:rsidRPr="002C664B">
        <w:rPr>
          <w:color w:val="000000"/>
          <w:shd w:val="clear" w:color="auto" w:fill="FFFFFF"/>
        </w:rPr>
        <w:lastRenderedPageBreak/>
        <w:t>déclarant irrecevable aux motifs que l'article L. 133-24 du code monétaire et financier instaurait un délai de forclusion spécial de 13 mois, que les débits prétendument frauduleux remontaient au 6 mars 2019 et que l'assignation du 21 décembre 2021, soit largement plus de 13 mois plus tard, encourait donc la forclusion, quand ce texte prévoit seulement que le payeur doit "signale " cette opération dans le délai de treize mois suivant la date de débit sous peine de forclusion, ce qui, si le signalement a été réalisée dans ce délai, autorise le demandeur à engager une action en justice dans le délai de droit commun, la cour d'appel a méconnu le texte susvisé. »</w:t>
      </w:r>
      <w:r w:rsidRPr="002C664B">
        <w:rPr>
          <w:rStyle w:val="apple-converted-space"/>
          <w:color w:val="000000"/>
          <w:shd w:val="clear" w:color="auto" w:fill="FFFFFF"/>
        </w:rPr>
        <w:t> </w:t>
      </w:r>
    </w:p>
    <w:p w:rsidR="002C664B" w:rsidRDefault="002C664B" w:rsidP="002C664B">
      <w:pPr>
        <w:jc w:val="both"/>
        <w:rPr>
          <w:color w:val="000000"/>
          <w:shd w:val="clear" w:color="auto" w:fill="FFFFFF"/>
        </w:rPr>
      </w:pPr>
    </w:p>
    <w:p w:rsidR="002C664B" w:rsidRDefault="002C664B" w:rsidP="002C664B">
      <w:pPr>
        <w:jc w:val="both"/>
        <w:rPr>
          <w:color w:val="000000"/>
        </w:rPr>
      </w:pPr>
      <w:r w:rsidRPr="002C664B">
        <w:rPr>
          <w:color w:val="000000"/>
          <w:shd w:val="clear" w:color="auto" w:fill="FFFFFF"/>
        </w:rPr>
        <w:t>Réponse de la Cour</w:t>
      </w:r>
    </w:p>
    <w:p w:rsidR="002C664B" w:rsidRDefault="002C664B" w:rsidP="002C664B">
      <w:pPr>
        <w:jc w:val="both"/>
        <w:rPr>
          <w:color w:val="000000"/>
          <w:shd w:val="clear" w:color="auto" w:fill="FFFFFF"/>
        </w:rPr>
      </w:pPr>
    </w:p>
    <w:p w:rsidR="002C664B" w:rsidRDefault="002C664B" w:rsidP="002C664B">
      <w:pPr>
        <w:jc w:val="both"/>
        <w:rPr>
          <w:color w:val="000000"/>
        </w:rPr>
      </w:pPr>
      <w:r w:rsidRPr="002C664B">
        <w:rPr>
          <w:color w:val="000000"/>
          <w:shd w:val="clear" w:color="auto" w:fill="FFFFFF"/>
        </w:rPr>
        <w:t>Vu l'article L. 133-24 du code monétaire et financier :</w:t>
      </w:r>
    </w:p>
    <w:p w:rsidR="002C664B" w:rsidRDefault="002C664B" w:rsidP="002C664B">
      <w:pPr>
        <w:jc w:val="both"/>
        <w:rPr>
          <w:color w:val="000000"/>
          <w:shd w:val="clear" w:color="auto" w:fill="FFFFFF"/>
        </w:rPr>
      </w:pPr>
    </w:p>
    <w:p w:rsidR="002C664B" w:rsidRDefault="002C664B" w:rsidP="002C664B">
      <w:pPr>
        <w:jc w:val="both"/>
        <w:rPr>
          <w:color w:val="000000"/>
        </w:rPr>
      </w:pPr>
      <w:r w:rsidRPr="002C664B">
        <w:rPr>
          <w:color w:val="000000"/>
          <w:shd w:val="clear" w:color="auto" w:fill="FFFFFF"/>
        </w:rPr>
        <w:t>5. Aux termes de cet article, l'utilisateur de services de paiement signale, sans tarder, à son prestataire de services de paiement une opération de paiement non autorisée ou mal exécutée et au plus tard dans les treize mois suivant la date de débit sous peine de forclusion.</w:t>
      </w:r>
    </w:p>
    <w:p w:rsidR="002C664B" w:rsidRDefault="002C664B" w:rsidP="002C664B">
      <w:pPr>
        <w:jc w:val="both"/>
        <w:rPr>
          <w:color w:val="000000"/>
          <w:shd w:val="clear" w:color="auto" w:fill="FFFFFF"/>
        </w:rPr>
      </w:pPr>
    </w:p>
    <w:p w:rsidR="002C664B" w:rsidRDefault="002C664B" w:rsidP="002C664B">
      <w:pPr>
        <w:jc w:val="both"/>
        <w:rPr>
          <w:color w:val="000000"/>
        </w:rPr>
      </w:pPr>
      <w:r w:rsidRPr="002C664B">
        <w:rPr>
          <w:color w:val="000000"/>
          <w:shd w:val="clear" w:color="auto" w:fill="FFFFFF"/>
        </w:rPr>
        <w:t>6. Pour déclarer irrecevables les demandes de M. [W], l'arrêt, après avoir constaté que celui-ci avait, le 7 mars 2019, formé opposition aux deux virements effectués à partir de son compte les 5 et 6 mars 2019 en déclarant ne pas en être à l'origine, retient que l'assignation en paiement ayant été délivrée le 21 décembre 2021, soit plus de treize mois plus tard, l'action encourt la forclusion.</w:t>
      </w:r>
    </w:p>
    <w:p w:rsidR="002C664B" w:rsidRDefault="002C664B" w:rsidP="002C664B">
      <w:pPr>
        <w:jc w:val="both"/>
        <w:rPr>
          <w:color w:val="000000"/>
          <w:shd w:val="clear" w:color="auto" w:fill="FFFFFF"/>
        </w:rPr>
      </w:pPr>
    </w:p>
    <w:p w:rsidR="002C664B" w:rsidRDefault="002C664B" w:rsidP="002C664B">
      <w:pPr>
        <w:jc w:val="both"/>
        <w:rPr>
          <w:color w:val="000000"/>
        </w:rPr>
      </w:pPr>
      <w:r w:rsidRPr="002C664B">
        <w:rPr>
          <w:color w:val="000000"/>
          <w:shd w:val="clear" w:color="auto" w:fill="FFFFFF"/>
        </w:rPr>
        <w:t>7. En statuant ainsi, alors qu'il résultait de ses propres constatations que M. [W] avait signalé sans tarder et au plus tard dans le délai de treize mois les opérations non autorisées, ce qui l'autorisait à agir en paiement contre la banque dans le délai de droit commun, la cour d'appel a violé l'article susvisé.</w:t>
      </w:r>
      <w:r w:rsidRPr="002C664B">
        <w:rPr>
          <w:rStyle w:val="apple-converted-space"/>
          <w:color w:val="000000"/>
          <w:shd w:val="clear" w:color="auto" w:fill="FFFFFF"/>
        </w:rPr>
        <w:t> </w:t>
      </w:r>
    </w:p>
    <w:p w:rsidR="002C664B" w:rsidRDefault="002C664B" w:rsidP="002C664B">
      <w:pPr>
        <w:jc w:val="both"/>
        <w:rPr>
          <w:color w:val="000000"/>
          <w:shd w:val="clear" w:color="auto" w:fill="FFFFFF"/>
        </w:rPr>
      </w:pPr>
    </w:p>
    <w:p w:rsidR="002C664B" w:rsidRDefault="002C664B" w:rsidP="002C664B">
      <w:pPr>
        <w:jc w:val="both"/>
        <w:rPr>
          <w:color w:val="000000"/>
        </w:rPr>
      </w:pPr>
      <w:r w:rsidRPr="002C664B">
        <w:rPr>
          <w:color w:val="000000"/>
          <w:shd w:val="clear" w:color="auto" w:fill="FFFFFF"/>
        </w:rPr>
        <w:t>PAR CES MOTIFS, la Cour :</w:t>
      </w:r>
    </w:p>
    <w:p w:rsidR="002C664B" w:rsidRDefault="002C664B" w:rsidP="002C664B">
      <w:pPr>
        <w:jc w:val="both"/>
        <w:rPr>
          <w:color w:val="000000"/>
          <w:shd w:val="clear" w:color="auto" w:fill="FFFFFF"/>
        </w:rPr>
      </w:pPr>
    </w:p>
    <w:p w:rsidR="002C664B" w:rsidRPr="002C664B" w:rsidRDefault="002C664B" w:rsidP="002C664B">
      <w:pPr>
        <w:jc w:val="both"/>
      </w:pPr>
      <w:r w:rsidRPr="002C664B">
        <w:rPr>
          <w:color w:val="000000"/>
          <w:shd w:val="clear" w:color="auto" w:fill="FFFFFF"/>
        </w:rPr>
        <w:t>CASSE ET ANNULE, en toutes ses dispositions, l'arrêt rendu le 21 mars 2024, entre les parties, par la cour d'appel de Douai ;</w:t>
      </w:r>
    </w:p>
    <w:p w:rsidR="002C664B" w:rsidRPr="002C664B" w:rsidRDefault="002C664B" w:rsidP="002C664B">
      <w:pPr>
        <w:jc w:val="both"/>
        <w:rPr>
          <w:b/>
        </w:rPr>
      </w:pPr>
    </w:p>
    <w:p w:rsidR="002C664B" w:rsidRPr="002C664B" w:rsidRDefault="002C664B" w:rsidP="002C664B">
      <w:pPr>
        <w:jc w:val="both"/>
        <w:rPr>
          <w:b/>
        </w:rPr>
      </w:pPr>
    </w:p>
    <w:p w:rsidR="004117CA" w:rsidRPr="002C664B" w:rsidRDefault="004117CA" w:rsidP="004117CA">
      <w:pPr>
        <w:rPr>
          <w:b/>
        </w:rPr>
      </w:pPr>
      <w:r w:rsidRPr="002C664B">
        <w:rPr>
          <w:b/>
        </w:rPr>
        <w:t>Authentification forte</w:t>
      </w:r>
    </w:p>
    <w:p w:rsidR="004117CA" w:rsidRPr="002C664B" w:rsidRDefault="004117CA" w:rsidP="004117CA">
      <w:pPr>
        <w:rPr>
          <w:b/>
        </w:rPr>
      </w:pPr>
    </w:p>
    <w:p w:rsidR="004117CA" w:rsidRPr="002C664B" w:rsidRDefault="004117CA" w:rsidP="004117CA">
      <w:pPr>
        <w:rPr>
          <w:b/>
        </w:rPr>
      </w:pPr>
      <w:r w:rsidRPr="002C664B">
        <w:rPr>
          <w:b/>
        </w:rPr>
        <w:t>-</w:t>
      </w:r>
      <w:proofErr w:type="spellStart"/>
      <w:r w:rsidRPr="002C664B">
        <w:rPr>
          <w:b/>
        </w:rPr>
        <w:t>Cass</w:t>
      </w:r>
      <w:proofErr w:type="spellEnd"/>
      <w:r w:rsidRPr="002C664B">
        <w:rPr>
          <w:b/>
        </w:rPr>
        <w:t>. com., 30 août 2023, n° 22-11.707</w:t>
      </w:r>
    </w:p>
    <w:p w:rsidR="004117CA" w:rsidRDefault="004117CA" w:rsidP="004117CA">
      <w:pPr>
        <w:rPr>
          <w:b/>
        </w:rPr>
      </w:pPr>
    </w:p>
    <w:p w:rsidR="002C664B" w:rsidRDefault="002C664B" w:rsidP="002C664B">
      <w:pPr>
        <w:jc w:val="both"/>
        <w:rPr>
          <w:color w:val="000000" w:themeColor="text1"/>
        </w:rPr>
      </w:pPr>
      <w:r w:rsidRPr="004A7CA5">
        <w:rPr>
          <w:color w:val="000000" w:themeColor="text1"/>
        </w:rPr>
        <w:t>Faits et procédure</w:t>
      </w:r>
    </w:p>
    <w:p w:rsidR="002C664B" w:rsidRDefault="002C664B" w:rsidP="002C664B">
      <w:pPr>
        <w:jc w:val="both"/>
        <w:rPr>
          <w:color w:val="000000" w:themeColor="text1"/>
        </w:rPr>
      </w:pPr>
    </w:p>
    <w:p w:rsidR="002C664B" w:rsidRDefault="002C664B" w:rsidP="002C664B">
      <w:pPr>
        <w:jc w:val="both"/>
        <w:rPr>
          <w:color w:val="000000" w:themeColor="text1"/>
        </w:rPr>
      </w:pPr>
      <w:r w:rsidRPr="004A7CA5">
        <w:rPr>
          <w:color w:val="000000" w:themeColor="text1"/>
        </w:rPr>
        <w:t>1. Selon le jugement attaqué (Clermont-Ferrand, 13 janvier 2022), rendu en dernier ressort, soutenant qu'en réponse à un appel téléphonique et à un message, il avait communiqué à un tiers, qu'il pensait être un employé de la société Caisse régionale de crédit agricole mutuel Centre France (la banque), auprès de laquelle il avait ouvert un compte, le code à six chiffres, dénommé « 3D Secure », destiné à valider les paiements par internet à partir de ce compte et qu'à la suite de cette communication, un tel paiement, non réalisé par lui, avait été effectué le 27 janvier 2020, M. [X] a demandé à la banque de lui rembourser la somme qui avait été prélevée à ce titre et de réparer son préjudice.</w:t>
      </w:r>
    </w:p>
    <w:p w:rsidR="002C664B" w:rsidRDefault="002C664B" w:rsidP="002C664B">
      <w:pPr>
        <w:jc w:val="both"/>
        <w:rPr>
          <w:color w:val="000000" w:themeColor="text1"/>
        </w:rPr>
      </w:pPr>
    </w:p>
    <w:p w:rsidR="002C664B" w:rsidRDefault="002C664B" w:rsidP="002C664B">
      <w:pPr>
        <w:jc w:val="both"/>
        <w:rPr>
          <w:color w:val="000000" w:themeColor="text1"/>
        </w:rPr>
      </w:pPr>
      <w:r w:rsidRPr="004A7CA5">
        <w:rPr>
          <w:color w:val="000000" w:themeColor="text1"/>
        </w:rPr>
        <w:lastRenderedPageBreak/>
        <w:t>2. Faisant valoir que M. [X] avait commis une négligence grave en communiquant volontairement un code de sécurité validant une opération financière à une personne extérieure, la banque s'est opposée à sa demande.</w:t>
      </w:r>
    </w:p>
    <w:p w:rsidR="002C664B" w:rsidRDefault="002C664B" w:rsidP="002C664B">
      <w:pPr>
        <w:jc w:val="both"/>
        <w:rPr>
          <w:color w:val="000000" w:themeColor="text1"/>
        </w:rPr>
      </w:pPr>
    </w:p>
    <w:p w:rsidR="002C664B" w:rsidRPr="004A7CA5" w:rsidRDefault="002C664B" w:rsidP="002C664B">
      <w:pPr>
        <w:jc w:val="both"/>
        <w:rPr>
          <w:color w:val="000000" w:themeColor="text1"/>
        </w:rPr>
      </w:pPr>
      <w:r w:rsidRPr="004A7CA5">
        <w:rPr>
          <w:color w:val="000000" w:themeColor="text1"/>
        </w:rPr>
        <w:t>Moyens</w:t>
      </w:r>
    </w:p>
    <w:p w:rsidR="002C664B" w:rsidRDefault="002C664B" w:rsidP="002C664B">
      <w:pPr>
        <w:jc w:val="both"/>
        <w:rPr>
          <w:color w:val="000000" w:themeColor="text1"/>
        </w:rPr>
      </w:pPr>
      <w:r w:rsidRPr="004A7CA5">
        <w:rPr>
          <w:color w:val="000000" w:themeColor="text1"/>
        </w:rPr>
        <w:t>Examen du moyen</w:t>
      </w:r>
    </w:p>
    <w:p w:rsidR="002C664B" w:rsidRDefault="002C664B" w:rsidP="002C664B">
      <w:pPr>
        <w:jc w:val="both"/>
        <w:rPr>
          <w:color w:val="000000" w:themeColor="text1"/>
        </w:rPr>
      </w:pPr>
    </w:p>
    <w:p w:rsidR="002C664B" w:rsidRDefault="002C664B" w:rsidP="002C664B">
      <w:pPr>
        <w:jc w:val="both"/>
        <w:rPr>
          <w:color w:val="000000" w:themeColor="text1"/>
        </w:rPr>
      </w:pPr>
      <w:r w:rsidRPr="004A7CA5">
        <w:rPr>
          <w:color w:val="000000" w:themeColor="text1"/>
        </w:rPr>
        <w:t>Sur le premier moyen</w:t>
      </w:r>
    </w:p>
    <w:p w:rsidR="002C664B" w:rsidRDefault="002C664B" w:rsidP="002C664B">
      <w:pPr>
        <w:jc w:val="both"/>
        <w:rPr>
          <w:color w:val="000000" w:themeColor="text1"/>
        </w:rPr>
      </w:pPr>
    </w:p>
    <w:p w:rsidR="002C664B" w:rsidRDefault="002C664B" w:rsidP="002C664B">
      <w:pPr>
        <w:jc w:val="both"/>
        <w:rPr>
          <w:color w:val="000000" w:themeColor="text1"/>
        </w:rPr>
      </w:pPr>
      <w:proofErr w:type="spellStart"/>
      <w:r w:rsidRPr="004A7CA5">
        <w:rPr>
          <w:color w:val="000000" w:themeColor="text1"/>
        </w:rPr>
        <w:t>Enoncé</w:t>
      </w:r>
      <w:proofErr w:type="spellEnd"/>
      <w:r w:rsidRPr="004A7CA5">
        <w:rPr>
          <w:color w:val="000000" w:themeColor="text1"/>
        </w:rPr>
        <w:t xml:space="preserve"> du moyen </w:t>
      </w:r>
    </w:p>
    <w:p w:rsidR="002C664B" w:rsidRDefault="002C664B" w:rsidP="002C664B">
      <w:pPr>
        <w:jc w:val="both"/>
        <w:rPr>
          <w:color w:val="000000" w:themeColor="text1"/>
        </w:rPr>
      </w:pPr>
    </w:p>
    <w:p w:rsidR="002C664B" w:rsidRDefault="002C664B" w:rsidP="002C664B">
      <w:pPr>
        <w:jc w:val="both"/>
        <w:rPr>
          <w:color w:val="000000" w:themeColor="text1"/>
        </w:rPr>
      </w:pPr>
      <w:r w:rsidRPr="004A7CA5">
        <w:rPr>
          <w:color w:val="000000" w:themeColor="text1"/>
        </w:rPr>
        <w:t>3. M. [X] fait grief au jugement attaqué de rejeter l'intégralité de ses demandes, fins et conclusions, alors « que sauf agissement frauduleux de sa part, le payeur ne supporte aucune conséquence financière si l'opération de paiement non autorisée a été effectuée sans que le prestataire de services de paiement n'exige l'authentification forte prévue à l'article L. 133-44 du code monétaire et financier ; qu'en l'absence de respect de l'exigence d'authentification forte prévue à l'article L. 133-44 susmentionné, le prestataire de services de paiement ne peut donc opposer au payeur, pour refuser de l'indemniser d'une opération non autorisée, qu'il n'a pas satisfait intentionnellement ou par négligence grave aux obligations mentionnées aux articles L. 133-16 et L. 133-17 du code monétaire et financier ; qu'en déboutant M. [X] de sa demande de remboursement aux motifs qu'il avait commis une négligence grave, sans rechercher si, comme le soutenait le requérant, l'opération de paiement litigieuse du 27 janvier 2020 avait pu être exécutée sans que la banque ait exigé l'authentification forte prévue à l'article L. 133-44 susmentionné de sorte que la banque ne pouvait alors se prévaloir d'une négligence grave de son client, le tribunal a privé sa décision de base légale au regard de l'article L. 133-19 du code monétaire et financier, dans sa rédaction issue de l'ordonnance n° 2017-1252 du 9 août 2017, et de l'article L. 133-44 du code de monétaire et financier, dans sa rédaction issue de l'ordonnance n° 2017-1252 du 9 août 2017, entrée en vigueur le 14 septembre 2019, dix-huit mois après l'entrée en vigueur de l'acte délégué adopté en vertu de l'article 98.1 de la directive (UE) 2015/2366 du Parlement européen et du Conseil du 25 novembre 2015. »</w:t>
      </w:r>
    </w:p>
    <w:p w:rsidR="002C664B" w:rsidRDefault="002C664B" w:rsidP="002C664B">
      <w:pPr>
        <w:jc w:val="both"/>
        <w:rPr>
          <w:color w:val="000000" w:themeColor="text1"/>
        </w:rPr>
      </w:pPr>
    </w:p>
    <w:p w:rsidR="002C664B" w:rsidRPr="004A7CA5" w:rsidRDefault="002C664B" w:rsidP="002C664B">
      <w:pPr>
        <w:jc w:val="both"/>
        <w:rPr>
          <w:color w:val="000000" w:themeColor="text1"/>
        </w:rPr>
      </w:pPr>
      <w:r w:rsidRPr="004A7CA5">
        <w:rPr>
          <w:color w:val="000000" w:themeColor="text1"/>
        </w:rPr>
        <w:t>Motivation</w:t>
      </w:r>
    </w:p>
    <w:p w:rsidR="002C664B" w:rsidRDefault="002C664B" w:rsidP="002C664B">
      <w:pPr>
        <w:jc w:val="both"/>
        <w:rPr>
          <w:color w:val="000000" w:themeColor="text1"/>
        </w:rPr>
      </w:pPr>
      <w:r w:rsidRPr="004A7CA5">
        <w:rPr>
          <w:color w:val="000000" w:themeColor="text1"/>
        </w:rPr>
        <w:t>Réponse de la Cour</w:t>
      </w:r>
      <w:r>
        <w:rPr>
          <w:color w:val="000000" w:themeColor="text1"/>
        </w:rPr>
        <w:t> ;</w:t>
      </w:r>
    </w:p>
    <w:p w:rsidR="002C664B" w:rsidRDefault="002C664B" w:rsidP="002C664B">
      <w:pPr>
        <w:jc w:val="both"/>
        <w:rPr>
          <w:color w:val="000000" w:themeColor="text1"/>
        </w:rPr>
      </w:pPr>
    </w:p>
    <w:p w:rsidR="002C664B" w:rsidRDefault="002C664B" w:rsidP="002C664B">
      <w:pPr>
        <w:jc w:val="both"/>
        <w:rPr>
          <w:color w:val="000000" w:themeColor="text1"/>
        </w:rPr>
      </w:pPr>
      <w:r w:rsidRPr="004A7CA5">
        <w:rPr>
          <w:color w:val="000000" w:themeColor="text1"/>
        </w:rPr>
        <w:t>Vu les articles L. 133-19, V, et L. 133-44 du code monétaire et financier dans leur rédaction issue de l'ordonnance n° 2017-1252 du 9 août 2017 :</w:t>
      </w:r>
    </w:p>
    <w:p w:rsidR="002C664B" w:rsidRDefault="002C664B" w:rsidP="002C664B">
      <w:pPr>
        <w:jc w:val="both"/>
        <w:rPr>
          <w:color w:val="000000" w:themeColor="text1"/>
        </w:rPr>
      </w:pPr>
    </w:p>
    <w:p w:rsidR="002C664B" w:rsidRDefault="002C664B" w:rsidP="002C664B">
      <w:pPr>
        <w:jc w:val="both"/>
        <w:rPr>
          <w:color w:val="000000" w:themeColor="text1"/>
        </w:rPr>
      </w:pPr>
      <w:r w:rsidRPr="004A7CA5">
        <w:rPr>
          <w:color w:val="000000" w:themeColor="text1"/>
        </w:rPr>
        <w:t>4. Il ressort du premier de ces textes que, sauf agissement frauduleux de sa part, le payeur ne supporte aucune conséquence financière si l'opération de paiement non autorisée a été effectuée sans que le prestataire de services de paiement du payeur n'exige une authentification forte du payeur prévue par le second de ces textes. </w:t>
      </w:r>
    </w:p>
    <w:p w:rsidR="002C664B" w:rsidRDefault="002C664B" w:rsidP="002C664B">
      <w:pPr>
        <w:jc w:val="both"/>
        <w:rPr>
          <w:color w:val="000000" w:themeColor="text1"/>
        </w:rPr>
      </w:pPr>
    </w:p>
    <w:p w:rsidR="002C664B" w:rsidRDefault="002C664B" w:rsidP="002C664B">
      <w:pPr>
        <w:jc w:val="both"/>
        <w:rPr>
          <w:color w:val="000000" w:themeColor="text1"/>
        </w:rPr>
      </w:pPr>
      <w:r w:rsidRPr="004A7CA5">
        <w:rPr>
          <w:color w:val="000000" w:themeColor="text1"/>
        </w:rPr>
        <w:t>5. Il résulte de l'article 34, VIII, 3°, de l'ordonnance n° 2017-1252 du 9 août 2017, que le second, auquel renvoie le premier, est entré en vigueur le 14 septembre 2019, dix-huit mois après l'entrée en vigueur du règlement délégué (UE) 2018/389 de la Commission du 27 novembre 2017 complétant la directive (UE) 2015/2366 par des normes techniques de réglementation relatives à l'authentification forte du client et à des normes ouvertes communes et sécurisées de communication.</w:t>
      </w:r>
    </w:p>
    <w:p w:rsidR="002C664B" w:rsidRDefault="002C664B" w:rsidP="002C664B">
      <w:pPr>
        <w:jc w:val="both"/>
        <w:rPr>
          <w:color w:val="000000" w:themeColor="text1"/>
        </w:rPr>
      </w:pPr>
    </w:p>
    <w:p w:rsidR="002C664B" w:rsidRDefault="002C664B" w:rsidP="002C664B">
      <w:pPr>
        <w:jc w:val="both"/>
        <w:rPr>
          <w:color w:val="000000" w:themeColor="text1"/>
        </w:rPr>
      </w:pPr>
      <w:r w:rsidRPr="004A7CA5">
        <w:rPr>
          <w:color w:val="000000" w:themeColor="text1"/>
        </w:rPr>
        <w:lastRenderedPageBreak/>
        <w:t>6. Pour rejeter la demande de M. [X], le jugement retient qu'il a commis une négligence grave en faisant confiance à une personne qu'il ne connaissait pas et qui lui racontait une histoire assez peu crédible. </w:t>
      </w:r>
    </w:p>
    <w:p w:rsidR="002C664B" w:rsidRDefault="002C664B" w:rsidP="002C664B">
      <w:pPr>
        <w:jc w:val="both"/>
        <w:rPr>
          <w:color w:val="000000" w:themeColor="text1"/>
        </w:rPr>
      </w:pPr>
    </w:p>
    <w:p w:rsidR="002C664B" w:rsidRDefault="002C664B" w:rsidP="002C664B">
      <w:pPr>
        <w:jc w:val="both"/>
        <w:rPr>
          <w:color w:val="000000" w:themeColor="text1"/>
        </w:rPr>
      </w:pPr>
      <w:r w:rsidRPr="004A7CA5">
        <w:rPr>
          <w:color w:val="000000" w:themeColor="text1"/>
        </w:rPr>
        <w:t>7. En se déterminant ainsi, sans rechercher, comme il lui incombait, si l'opération de paiement litigieuse avait été exécutée sans que la banque exige l'authentification forte du payeur, la cour d'appel n'a pas donné de base légale à sa décision. </w:t>
      </w:r>
    </w:p>
    <w:p w:rsidR="002C664B" w:rsidRDefault="002C664B" w:rsidP="002C664B">
      <w:pPr>
        <w:jc w:val="both"/>
        <w:rPr>
          <w:color w:val="000000" w:themeColor="text1"/>
        </w:rPr>
      </w:pPr>
    </w:p>
    <w:p w:rsidR="002C664B" w:rsidRPr="004A7CA5" w:rsidRDefault="002C664B" w:rsidP="002C664B">
      <w:pPr>
        <w:jc w:val="both"/>
        <w:rPr>
          <w:color w:val="000000" w:themeColor="text1"/>
        </w:rPr>
      </w:pPr>
      <w:r w:rsidRPr="004A7CA5">
        <w:rPr>
          <w:color w:val="000000" w:themeColor="text1"/>
        </w:rPr>
        <w:t>Dispositif</w:t>
      </w:r>
    </w:p>
    <w:p w:rsidR="002C664B" w:rsidRDefault="002C664B" w:rsidP="002C664B">
      <w:pPr>
        <w:jc w:val="both"/>
        <w:rPr>
          <w:color w:val="000000" w:themeColor="text1"/>
        </w:rPr>
      </w:pPr>
    </w:p>
    <w:p w:rsidR="002C664B" w:rsidRDefault="002C664B" w:rsidP="002C664B">
      <w:pPr>
        <w:jc w:val="both"/>
        <w:rPr>
          <w:color w:val="000000" w:themeColor="text1"/>
        </w:rPr>
      </w:pPr>
      <w:r w:rsidRPr="004A7CA5">
        <w:rPr>
          <w:color w:val="000000" w:themeColor="text1"/>
        </w:rPr>
        <w:t>PAR CES MOTIFS, sans qu'il y ait lieu de statuer sur les autres griefs, la Cour :</w:t>
      </w:r>
    </w:p>
    <w:p w:rsidR="002C664B" w:rsidRDefault="002C664B" w:rsidP="002C664B">
      <w:pPr>
        <w:jc w:val="both"/>
        <w:rPr>
          <w:color w:val="000000" w:themeColor="text1"/>
        </w:rPr>
      </w:pPr>
    </w:p>
    <w:p w:rsidR="002C664B" w:rsidRDefault="002C664B" w:rsidP="002C664B">
      <w:pPr>
        <w:jc w:val="both"/>
        <w:rPr>
          <w:color w:val="000000" w:themeColor="text1"/>
        </w:rPr>
      </w:pPr>
      <w:r w:rsidRPr="004A7CA5">
        <w:rPr>
          <w:color w:val="000000" w:themeColor="text1"/>
        </w:rPr>
        <w:t>CASSE ET ANNULE, en toutes ses dispositions, le jugement rendu le 13 janvier 2022, entre les parties, par le tribunal judiciaire de Clermont-Ferrand ;</w:t>
      </w:r>
    </w:p>
    <w:p w:rsidR="002C664B" w:rsidRDefault="002C664B" w:rsidP="002C664B">
      <w:pPr>
        <w:jc w:val="both"/>
        <w:rPr>
          <w:color w:val="000000" w:themeColor="text1"/>
        </w:rPr>
      </w:pPr>
    </w:p>
    <w:p w:rsidR="002C664B" w:rsidRPr="002C664B" w:rsidRDefault="002C664B" w:rsidP="002C664B">
      <w:pPr>
        <w:jc w:val="both"/>
        <w:rPr>
          <w:color w:val="000000" w:themeColor="text1"/>
        </w:rPr>
      </w:pPr>
      <w:r w:rsidRPr="004A7CA5">
        <w:rPr>
          <w:color w:val="000000" w:themeColor="text1"/>
        </w:rPr>
        <w:t xml:space="preserve">Remet l'affaire et les parties dans l'état où elles se trouvaient avant ce jugement et les renvoie </w:t>
      </w:r>
      <w:r w:rsidRPr="002C664B">
        <w:rPr>
          <w:color w:val="000000" w:themeColor="text1"/>
        </w:rPr>
        <w:t>devant le tribunal judiciaire de Clermont-Ferrand, autrement composé ;</w:t>
      </w:r>
    </w:p>
    <w:p w:rsidR="002C664B" w:rsidRPr="002C664B" w:rsidRDefault="002C664B" w:rsidP="002C664B">
      <w:pPr>
        <w:jc w:val="both"/>
        <w:rPr>
          <w:b/>
        </w:rPr>
      </w:pPr>
    </w:p>
    <w:p w:rsidR="002C664B" w:rsidRPr="002C664B" w:rsidRDefault="002C664B" w:rsidP="002C664B">
      <w:pPr>
        <w:jc w:val="both"/>
        <w:rPr>
          <w:b/>
        </w:rPr>
      </w:pPr>
    </w:p>
    <w:p w:rsidR="004A7CA5" w:rsidRPr="00FB59F4" w:rsidRDefault="004A7CA5" w:rsidP="00FB59F4">
      <w:pPr>
        <w:jc w:val="both"/>
      </w:pPr>
      <w:bookmarkStart w:id="0" w:name="_GoBack"/>
      <w:bookmarkEnd w:id="0"/>
    </w:p>
    <w:sectPr w:rsidR="004A7CA5" w:rsidRPr="00FB59F4" w:rsidSect="00B90231">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5A18" w:rsidRDefault="00065A18" w:rsidP="0050270D">
      <w:r>
        <w:separator/>
      </w:r>
    </w:p>
  </w:endnote>
  <w:endnote w:type="continuationSeparator" w:id="0">
    <w:p w:rsidR="00065A18" w:rsidRDefault="00065A18" w:rsidP="00502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5A18" w:rsidRDefault="00065A18" w:rsidP="0050270D">
      <w:r>
        <w:separator/>
      </w:r>
    </w:p>
  </w:footnote>
  <w:footnote w:type="continuationSeparator" w:id="0">
    <w:p w:rsidR="00065A18" w:rsidRDefault="00065A18" w:rsidP="005027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1F7D17"/>
    <w:multiLevelType w:val="multilevel"/>
    <w:tmpl w:val="66E60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DB1"/>
    <w:rsid w:val="00065A18"/>
    <w:rsid w:val="000B67C6"/>
    <w:rsid w:val="000D0093"/>
    <w:rsid w:val="000D353A"/>
    <w:rsid w:val="00121C4D"/>
    <w:rsid w:val="00121C53"/>
    <w:rsid w:val="001611D9"/>
    <w:rsid w:val="001753D8"/>
    <w:rsid w:val="001A4D90"/>
    <w:rsid w:val="001E2528"/>
    <w:rsid w:val="00213425"/>
    <w:rsid w:val="002561A3"/>
    <w:rsid w:val="002C664B"/>
    <w:rsid w:val="00334035"/>
    <w:rsid w:val="0038568F"/>
    <w:rsid w:val="003F4650"/>
    <w:rsid w:val="004117CA"/>
    <w:rsid w:val="004123A3"/>
    <w:rsid w:val="0042343A"/>
    <w:rsid w:val="00483E15"/>
    <w:rsid w:val="004941B6"/>
    <w:rsid w:val="004A107D"/>
    <w:rsid w:val="004A7CA5"/>
    <w:rsid w:val="004D4B24"/>
    <w:rsid w:val="0050270D"/>
    <w:rsid w:val="00531EAF"/>
    <w:rsid w:val="00597373"/>
    <w:rsid w:val="005B0788"/>
    <w:rsid w:val="005D05CC"/>
    <w:rsid w:val="006439A2"/>
    <w:rsid w:val="006C70E3"/>
    <w:rsid w:val="006E79ED"/>
    <w:rsid w:val="007517C8"/>
    <w:rsid w:val="007630CE"/>
    <w:rsid w:val="00783F0F"/>
    <w:rsid w:val="00786DAB"/>
    <w:rsid w:val="00811232"/>
    <w:rsid w:val="00863AF6"/>
    <w:rsid w:val="00871F65"/>
    <w:rsid w:val="009032B2"/>
    <w:rsid w:val="00914BCA"/>
    <w:rsid w:val="009269E4"/>
    <w:rsid w:val="00987A97"/>
    <w:rsid w:val="009A5738"/>
    <w:rsid w:val="009F5DFE"/>
    <w:rsid w:val="00A31F92"/>
    <w:rsid w:val="00A72A17"/>
    <w:rsid w:val="00A72F06"/>
    <w:rsid w:val="00A72F3E"/>
    <w:rsid w:val="00B1043D"/>
    <w:rsid w:val="00B22605"/>
    <w:rsid w:val="00B4232C"/>
    <w:rsid w:val="00B8024E"/>
    <w:rsid w:val="00B8231B"/>
    <w:rsid w:val="00B90231"/>
    <w:rsid w:val="00C0629B"/>
    <w:rsid w:val="00C15886"/>
    <w:rsid w:val="00C51261"/>
    <w:rsid w:val="00C875C9"/>
    <w:rsid w:val="00D256FB"/>
    <w:rsid w:val="00D35491"/>
    <w:rsid w:val="00D652D3"/>
    <w:rsid w:val="00D85DB1"/>
    <w:rsid w:val="00D85F90"/>
    <w:rsid w:val="00D928B9"/>
    <w:rsid w:val="00D9513F"/>
    <w:rsid w:val="00DB3E0E"/>
    <w:rsid w:val="00E01924"/>
    <w:rsid w:val="00E13FA0"/>
    <w:rsid w:val="00E211A3"/>
    <w:rsid w:val="00E70706"/>
    <w:rsid w:val="00E92382"/>
    <w:rsid w:val="00E954D5"/>
    <w:rsid w:val="00EF6C91"/>
    <w:rsid w:val="00F1245D"/>
    <w:rsid w:val="00F230D0"/>
    <w:rsid w:val="00F23B4B"/>
    <w:rsid w:val="00F37B24"/>
    <w:rsid w:val="00F50017"/>
    <w:rsid w:val="00F71376"/>
    <w:rsid w:val="00F915D8"/>
    <w:rsid w:val="00FB59F4"/>
    <w:rsid w:val="00FE380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5D8E5226"/>
  <w14:defaultImageDpi w14:val="32767"/>
  <w15:chartTrackingRefBased/>
  <w15:docId w15:val="{C1169224-2D93-DB4D-8F80-9C4D050BE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31EAF"/>
    <w:rPr>
      <w:rFonts w:ascii="Times New Roman" w:eastAsia="Times New Roman" w:hAnsi="Times New Roman" w:cs="Times New Roman"/>
      <w:lang w:eastAsia="fr-FR"/>
    </w:rPr>
  </w:style>
  <w:style w:type="paragraph" w:styleId="Titre1">
    <w:name w:val="heading 1"/>
    <w:basedOn w:val="Normal"/>
    <w:link w:val="Titre1Car"/>
    <w:uiPriority w:val="9"/>
    <w:qFormat/>
    <w:rsid w:val="00D85DB1"/>
    <w:pPr>
      <w:spacing w:before="100" w:beforeAutospacing="1" w:after="100" w:afterAutospacing="1"/>
      <w:outlineLvl w:val="0"/>
    </w:pPr>
    <w:rPr>
      <w:b/>
      <w:bCs/>
      <w:kern w:val="36"/>
      <w:sz w:val="48"/>
      <w:szCs w:val="48"/>
    </w:rPr>
  </w:style>
  <w:style w:type="paragraph" w:styleId="Titre2">
    <w:name w:val="heading 2"/>
    <w:basedOn w:val="Normal"/>
    <w:link w:val="Titre2Car"/>
    <w:uiPriority w:val="9"/>
    <w:qFormat/>
    <w:rsid w:val="00D85DB1"/>
    <w:pPr>
      <w:spacing w:before="100" w:beforeAutospacing="1" w:after="100" w:afterAutospacing="1"/>
      <w:outlineLvl w:val="1"/>
    </w:pPr>
    <w:rPr>
      <w:b/>
      <w:bCs/>
      <w:sz w:val="36"/>
      <w:szCs w:val="36"/>
    </w:rPr>
  </w:style>
  <w:style w:type="paragraph" w:styleId="Titre3">
    <w:name w:val="heading 3"/>
    <w:basedOn w:val="Normal"/>
    <w:link w:val="Titre3Car"/>
    <w:uiPriority w:val="9"/>
    <w:qFormat/>
    <w:rsid w:val="00D85DB1"/>
    <w:pPr>
      <w:spacing w:before="100" w:beforeAutospacing="1" w:after="100" w:afterAutospacing="1"/>
      <w:outlineLvl w:val="2"/>
    </w:pPr>
    <w:rPr>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D85DB1"/>
    <w:pPr>
      <w:spacing w:before="100" w:beforeAutospacing="1" w:after="100" w:afterAutospacing="1"/>
    </w:pPr>
  </w:style>
  <w:style w:type="character" w:styleId="lev">
    <w:name w:val="Strong"/>
    <w:basedOn w:val="Policepardfaut"/>
    <w:uiPriority w:val="22"/>
    <w:qFormat/>
    <w:rsid w:val="00D85DB1"/>
    <w:rPr>
      <w:b/>
      <w:bCs/>
    </w:rPr>
  </w:style>
  <w:style w:type="character" w:customStyle="1" w:styleId="apple-converted-space">
    <w:name w:val="apple-converted-space"/>
    <w:basedOn w:val="Policepardfaut"/>
    <w:rsid w:val="00D85DB1"/>
  </w:style>
  <w:style w:type="paragraph" w:customStyle="1" w:styleId="name-article">
    <w:name w:val="name-article"/>
    <w:basedOn w:val="Normal"/>
    <w:rsid w:val="00D85DB1"/>
    <w:pPr>
      <w:spacing w:before="100" w:beforeAutospacing="1" w:after="100" w:afterAutospacing="1"/>
    </w:pPr>
  </w:style>
  <w:style w:type="character" w:styleId="Lienhypertexte">
    <w:name w:val="Hyperlink"/>
    <w:basedOn w:val="Policepardfaut"/>
    <w:uiPriority w:val="99"/>
    <w:semiHidden/>
    <w:unhideWhenUsed/>
    <w:rsid w:val="00D85DB1"/>
    <w:rPr>
      <w:color w:val="0000FF"/>
      <w:u w:val="single"/>
    </w:rPr>
  </w:style>
  <w:style w:type="paragraph" w:customStyle="1" w:styleId="Date1">
    <w:name w:val="Date1"/>
    <w:basedOn w:val="Normal"/>
    <w:rsid w:val="00D85DB1"/>
    <w:pPr>
      <w:spacing w:before="100" w:beforeAutospacing="1" w:after="100" w:afterAutospacing="1"/>
    </w:pPr>
  </w:style>
  <w:style w:type="character" w:customStyle="1" w:styleId="Titre1Car">
    <w:name w:val="Titre 1 Car"/>
    <w:basedOn w:val="Policepardfaut"/>
    <w:link w:val="Titre1"/>
    <w:uiPriority w:val="9"/>
    <w:rsid w:val="00D85DB1"/>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D85DB1"/>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D85DB1"/>
    <w:rPr>
      <w:rFonts w:ascii="Times New Roman" w:eastAsia="Times New Roman" w:hAnsi="Times New Roman" w:cs="Times New Roman"/>
      <w:b/>
      <w:bCs/>
      <w:sz w:val="27"/>
      <w:szCs w:val="27"/>
      <w:lang w:eastAsia="fr-FR"/>
    </w:rPr>
  </w:style>
  <w:style w:type="paragraph" w:customStyle="1" w:styleId="margintopbottom7">
    <w:name w:val="margintopbottom7"/>
    <w:basedOn w:val="Normal"/>
    <w:rsid w:val="00D85DB1"/>
    <w:pPr>
      <w:spacing w:before="100" w:beforeAutospacing="1" w:after="100" w:afterAutospacing="1"/>
    </w:pPr>
  </w:style>
  <w:style w:type="paragraph" w:customStyle="1" w:styleId="margintopbottom14">
    <w:name w:val="margintopbottom14"/>
    <w:basedOn w:val="Normal"/>
    <w:rsid w:val="00D85DB1"/>
    <w:pPr>
      <w:spacing w:before="100" w:beforeAutospacing="1" w:after="100" w:afterAutospacing="1"/>
    </w:pPr>
  </w:style>
  <w:style w:type="character" w:customStyle="1" w:styleId="highlight">
    <w:name w:val="highlight"/>
    <w:basedOn w:val="Policepardfaut"/>
    <w:rsid w:val="00D85DB1"/>
  </w:style>
  <w:style w:type="paragraph" w:styleId="Paragraphedeliste">
    <w:name w:val="List Paragraph"/>
    <w:basedOn w:val="Normal"/>
    <w:uiPriority w:val="34"/>
    <w:qFormat/>
    <w:rsid w:val="0042343A"/>
    <w:pPr>
      <w:ind w:left="720"/>
      <w:contextualSpacing/>
    </w:pPr>
  </w:style>
  <w:style w:type="paragraph" w:customStyle="1" w:styleId="c01pointnumerotealtn">
    <w:name w:val="c01pointnumerotealtn"/>
    <w:basedOn w:val="Normal"/>
    <w:rsid w:val="0042343A"/>
    <w:pPr>
      <w:spacing w:before="100" w:beforeAutospacing="1" w:after="100" w:afterAutospacing="1"/>
    </w:pPr>
  </w:style>
  <w:style w:type="paragraph" w:customStyle="1" w:styleId="c04titre1">
    <w:name w:val="c04titre1"/>
    <w:basedOn w:val="Normal"/>
    <w:rsid w:val="0042343A"/>
    <w:pPr>
      <w:spacing w:before="100" w:beforeAutospacing="1" w:after="100" w:afterAutospacing="1"/>
    </w:pPr>
  </w:style>
  <w:style w:type="paragraph" w:customStyle="1" w:styleId="c05titre2">
    <w:name w:val="c05titre2"/>
    <w:basedOn w:val="Normal"/>
    <w:rsid w:val="0042343A"/>
    <w:pPr>
      <w:spacing w:before="100" w:beforeAutospacing="1" w:after="100" w:afterAutospacing="1"/>
    </w:pPr>
  </w:style>
  <w:style w:type="paragraph" w:customStyle="1" w:styleId="c02alineaalta">
    <w:name w:val="c02alineaalta"/>
    <w:basedOn w:val="Normal"/>
    <w:rsid w:val="0042343A"/>
    <w:pPr>
      <w:spacing w:before="100" w:beforeAutospacing="1" w:after="100" w:afterAutospacing="1"/>
    </w:pPr>
  </w:style>
  <w:style w:type="paragraph" w:customStyle="1" w:styleId="c09marge0avecretrait">
    <w:name w:val="c09marge0avecretrait"/>
    <w:basedOn w:val="Normal"/>
    <w:rsid w:val="0042343A"/>
    <w:pPr>
      <w:spacing w:before="100" w:beforeAutospacing="1" w:after="100" w:afterAutospacing="1"/>
    </w:pPr>
  </w:style>
  <w:style w:type="paragraph" w:customStyle="1" w:styleId="c41dispositifintroduction">
    <w:name w:val="c41dispositifintroduction"/>
    <w:basedOn w:val="Normal"/>
    <w:rsid w:val="0042343A"/>
    <w:pPr>
      <w:spacing w:before="100" w:beforeAutospacing="1" w:after="100" w:afterAutospacing="1"/>
    </w:pPr>
  </w:style>
  <w:style w:type="paragraph" w:customStyle="1" w:styleId="c08dispositif">
    <w:name w:val="c08dispositif"/>
    <w:basedOn w:val="Normal"/>
    <w:rsid w:val="0042343A"/>
    <w:pPr>
      <w:spacing w:before="100" w:beforeAutospacing="1" w:after="100" w:afterAutospacing="1"/>
    </w:pPr>
  </w:style>
  <w:style w:type="paragraph" w:styleId="Textedebulles">
    <w:name w:val="Balloon Text"/>
    <w:basedOn w:val="Normal"/>
    <w:link w:val="TextedebullesCar"/>
    <w:uiPriority w:val="99"/>
    <w:semiHidden/>
    <w:unhideWhenUsed/>
    <w:rsid w:val="006E79ED"/>
    <w:rPr>
      <w:sz w:val="18"/>
      <w:szCs w:val="18"/>
    </w:rPr>
  </w:style>
  <w:style w:type="character" w:customStyle="1" w:styleId="TextedebullesCar">
    <w:name w:val="Texte de bulles Car"/>
    <w:basedOn w:val="Policepardfaut"/>
    <w:link w:val="Textedebulles"/>
    <w:uiPriority w:val="99"/>
    <w:semiHidden/>
    <w:rsid w:val="006E79ED"/>
    <w:rPr>
      <w:rFonts w:ascii="Times New Roman" w:eastAsia="Times New Roman" w:hAnsi="Times New Roman" w:cs="Times New Roman"/>
      <w:sz w:val="18"/>
      <w:szCs w:val="18"/>
      <w:lang w:eastAsia="fr-FR"/>
    </w:rPr>
  </w:style>
  <w:style w:type="paragraph" w:styleId="Retraitcorpsdetexte">
    <w:name w:val="Body Text Indent"/>
    <w:basedOn w:val="Normal"/>
    <w:link w:val="RetraitcorpsdetexteCar"/>
    <w:rsid w:val="00483E15"/>
    <w:pPr>
      <w:ind w:firstLine="567"/>
    </w:pPr>
  </w:style>
  <w:style w:type="character" w:customStyle="1" w:styleId="RetraitcorpsdetexteCar">
    <w:name w:val="Retrait corps de texte Car"/>
    <w:basedOn w:val="Policepardfaut"/>
    <w:link w:val="Retraitcorpsdetexte"/>
    <w:rsid w:val="00483E15"/>
    <w:rPr>
      <w:rFonts w:ascii="Times New Roman" w:eastAsia="Times New Roman" w:hAnsi="Times New Roman" w:cs="Times New Roman"/>
      <w:lang w:eastAsia="fr-FR"/>
    </w:rPr>
  </w:style>
  <w:style w:type="paragraph" w:customStyle="1" w:styleId="h4-like">
    <w:name w:val="h4-like"/>
    <w:basedOn w:val="Normal"/>
    <w:rsid w:val="004941B6"/>
    <w:pPr>
      <w:spacing w:before="100" w:beforeAutospacing="1" w:after="100" w:afterAutospacing="1"/>
    </w:pPr>
  </w:style>
  <w:style w:type="paragraph" w:customStyle="1" w:styleId="tags">
    <w:name w:val="tags"/>
    <w:basedOn w:val="Normal"/>
    <w:rsid w:val="004941B6"/>
    <w:pPr>
      <w:spacing w:before="100" w:beforeAutospacing="1" w:after="100" w:afterAutospacing="1"/>
    </w:pPr>
  </w:style>
  <w:style w:type="paragraph" w:customStyle="1" w:styleId="decision-accordeon--contenu">
    <w:name w:val="decision-accordeon--contenu"/>
    <w:basedOn w:val="Normal"/>
    <w:rsid w:val="004941B6"/>
    <w:pPr>
      <w:spacing w:before="100" w:beforeAutospacing="1" w:after="100" w:afterAutospacing="1"/>
    </w:pPr>
  </w:style>
  <w:style w:type="paragraph" w:customStyle="1" w:styleId="version-article">
    <w:name w:val="version-article"/>
    <w:basedOn w:val="Normal"/>
    <w:rsid w:val="005B0788"/>
    <w:pPr>
      <w:spacing w:before="100" w:beforeAutospacing="1" w:after="100" w:afterAutospacing="1"/>
    </w:pPr>
  </w:style>
  <w:style w:type="paragraph" w:customStyle="1" w:styleId="Date2">
    <w:name w:val="Date2"/>
    <w:basedOn w:val="Normal"/>
    <w:rsid w:val="005B0788"/>
    <w:pPr>
      <w:spacing w:before="100" w:beforeAutospacing="1" w:after="100" w:afterAutospacing="1"/>
    </w:pPr>
  </w:style>
  <w:style w:type="paragraph" w:customStyle="1" w:styleId="parafact">
    <w:name w:val="parafact"/>
    <w:basedOn w:val="Normal"/>
    <w:rsid w:val="00C15886"/>
    <w:pPr>
      <w:spacing w:before="100" w:beforeAutospacing="1" w:after="100" w:afterAutospacing="1"/>
    </w:pPr>
  </w:style>
  <w:style w:type="character" w:customStyle="1" w:styleId="selected">
    <w:name w:val="selected"/>
    <w:basedOn w:val="Policepardfaut"/>
    <w:rsid w:val="00C15886"/>
  </w:style>
  <w:style w:type="character" w:customStyle="1" w:styleId="srvrlnk">
    <w:name w:val="srvrlnk"/>
    <w:basedOn w:val="Policepardfaut"/>
    <w:rsid w:val="00C15886"/>
  </w:style>
  <w:style w:type="paragraph" w:customStyle="1" w:styleId="paramotif">
    <w:name w:val="paramotif"/>
    <w:basedOn w:val="Normal"/>
    <w:rsid w:val="00C15886"/>
    <w:pPr>
      <w:spacing w:before="100" w:beforeAutospacing="1" w:after="100" w:afterAutospacing="1"/>
    </w:pPr>
  </w:style>
  <w:style w:type="paragraph" w:customStyle="1" w:styleId="paraprelim">
    <w:name w:val="paraprelim"/>
    <w:basedOn w:val="Normal"/>
    <w:rsid w:val="00C15886"/>
    <w:pPr>
      <w:spacing w:before="100" w:beforeAutospacing="1" w:after="100" w:afterAutospacing="1"/>
    </w:pPr>
  </w:style>
  <w:style w:type="character" w:customStyle="1" w:styleId="link">
    <w:name w:val="link"/>
    <w:basedOn w:val="Policepardfaut"/>
    <w:rsid w:val="00C15886"/>
  </w:style>
  <w:style w:type="paragraph" w:customStyle="1" w:styleId="paraorder">
    <w:name w:val="paraorder"/>
    <w:basedOn w:val="Normal"/>
    <w:rsid w:val="00C15886"/>
    <w:pPr>
      <w:spacing w:before="100" w:beforeAutospacing="1" w:after="100" w:afterAutospacing="1"/>
    </w:pPr>
  </w:style>
  <w:style w:type="character" w:customStyle="1" w:styleId="margintop14">
    <w:name w:val="margintop14"/>
    <w:basedOn w:val="Policepardfaut"/>
    <w:rsid w:val="0050270D"/>
  </w:style>
  <w:style w:type="paragraph" w:styleId="Notedebasdepage">
    <w:name w:val="footnote text"/>
    <w:aliases w:val="Footnote Text Char Char Char Char,Footnote Text Char Char Char,Footnotes,Note de bas de page2,footnote text,Texte de note de bas de page,Note de bas de page Car Car,Texte de note de bas de page ,alinéa de not, Car Car Car,fn1,fn2,fn3"/>
    <w:basedOn w:val="Normal"/>
    <w:link w:val="NotedebasdepageCar"/>
    <w:unhideWhenUsed/>
    <w:qFormat/>
    <w:rsid w:val="0050270D"/>
    <w:rPr>
      <w:sz w:val="20"/>
      <w:szCs w:val="20"/>
    </w:rPr>
  </w:style>
  <w:style w:type="character" w:customStyle="1" w:styleId="NotedebasdepageCar">
    <w:name w:val="Note de bas de page Car"/>
    <w:aliases w:val="Footnote Text Char Char Char Char Car,Footnote Text Char Char Char Car,Footnotes Car,Note de bas de page2 Car,footnote text Car,Texte de note de bas de page Car,Note de bas de page Car Car Car,Texte de note de bas de page  Car"/>
    <w:basedOn w:val="Policepardfaut"/>
    <w:link w:val="Notedebasdepage"/>
    <w:qFormat/>
    <w:rsid w:val="0050270D"/>
    <w:rPr>
      <w:rFonts w:ascii="Times New Roman" w:eastAsia="Times New Roman" w:hAnsi="Times New Roman" w:cs="Times New Roman"/>
      <w:sz w:val="20"/>
      <w:szCs w:val="20"/>
      <w:lang w:eastAsia="fr-FR"/>
    </w:rPr>
  </w:style>
  <w:style w:type="character" w:styleId="Appelnotedebasdep">
    <w:name w:val="footnote reference"/>
    <w:aliases w:val="Appel note de bas de page,fr,Footnote Reference Number,Footnote Reference_LVL6,Footnote Reference_LVL61,Footnote Reference_LVL62,Footnote Reference_LVL63,Footnote Reference_LVL64,Footnote number,Footnote symbol,o,Ref,BVI fnr,FZ"/>
    <w:basedOn w:val="Policepardfaut"/>
    <w:uiPriority w:val="99"/>
    <w:unhideWhenUsed/>
    <w:qFormat/>
    <w:rsid w:val="005027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05013">
      <w:bodyDiv w:val="1"/>
      <w:marLeft w:val="0"/>
      <w:marRight w:val="0"/>
      <w:marTop w:val="0"/>
      <w:marBottom w:val="0"/>
      <w:divBdr>
        <w:top w:val="none" w:sz="0" w:space="0" w:color="auto"/>
        <w:left w:val="none" w:sz="0" w:space="0" w:color="auto"/>
        <w:bottom w:val="none" w:sz="0" w:space="0" w:color="auto"/>
        <w:right w:val="none" w:sz="0" w:space="0" w:color="auto"/>
      </w:divBdr>
    </w:div>
    <w:div w:id="47186827">
      <w:bodyDiv w:val="1"/>
      <w:marLeft w:val="0"/>
      <w:marRight w:val="0"/>
      <w:marTop w:val="0"/>
      <w:marBottom w:val="0"/>
      <w:divBdr>
        <w:top w:val="none" w:sz="0" w:space="0" w:color="auto"/>
        <w:left w:val="none" w:sz="0" w:space="0" w:color="auto"/>
        <w:bottom w:val="none" w:sz="0" w:space="0" w:color="auto"/>
        <w:right w:val="none" w:sz="0" w:space="0" w:color="auto"/>
      </w:divBdr>
    </w:div>
    <w:div w:id="56978145">
      <w:bodyDiv w:val="1"/>
      <w:marLeft w:val="0"/>
      <w:marRight w:val="0"/>
      <w:marTop w:val="0"/>
      <w:marBottom w:val="0"/>
      <w:divBdr>
        <w:top w:val="none" w:sz="0" w:space="0" w:color="auto"/>
        <w:left w:val="none" w:sz="0" w:space="0" w:color="auto"/>
        <w:bottom w:val="none" w:sz="0" w:space="0" w:color="auto"/>
        <w:right w:val="none" w:sz="0" w:space="0" w:color="auto"/>
      </w:divBdr>
    </w:div>
    <w:div w:id="58096706">
      <w:bodyDiv w:val="1"/>
      <w:marLeft w:val="0"/>
      <w:marRight w:val="0"/>
      <w:marTop w:val="0"/>
      <w:marBottom w:val="0"/>
      <w:divBdr>
        <w:top w:val="none" w:sz="0" w:space="0" w:color="auto"/>
        <w:left w:val="none" w:sz="0" w:space="0" w:color="auto"/>
        <w:bottom w:val="none" w:sz="0" w:space="0" w:color="auto"/>
        <w:right w:val="none" w:sz="0" w:space="0" w:color="auto"/>
      </w:divBdr>
    </w:div>
    <w:div w:id="65109420">
      <w:bodyDiv w:val="1"/>
      <w:marLeft w:val="0"/>
      <w:marRight w:val="0"/>
      <w:marTop w:val="0"/>
      <w:marBottom w:val="0"/>
      <w:divBdr>
        <w:top w:val="none" w:sz="0" w:space="0" w:color="auto"/>
        <w:left w:val="none" w:sz="0" w:space="0" w:color="auto"/>
        <w:bottom w:val="none" w:sz="0" w:space="0" w:color="auto"/>
        <w:right w:val="none" w:sz="0" w:space="0" w:color="auto"/>
      </w:divBdr>
    </w:div>
    <w:div w:id="136841981">
      <w:bodyDiv w:val="1"/>
      <w:marLeft w:val="0"/>
      <w:marRight w:val="0"/>
      <w:marTop w:val="0"/>
      <w:marBottom w:val="0"/>
      <w:divBdr>
        <w:top w:val="none" w:sz="0" w:space="0" w:color="auto"/>
        <w:left w:val="none" w:sz="0" w:space="0" w:color="auto"/>
        <w:bottom w:val="none" w:sz="0" w:space="0" w:color="auto"/>
        <w:right w:val="none" w:sz="0" w:space="0" w:color="auto"/>
      </w:divBdr>
    </w:div>
    <w:div w:id="146869061">
      <w:bodyDiv w:val="1"/>
      <w:marLeft w:val="0"/>
      <w:marRight w:val="0"/>
      <w:marTop w:val="0"/>
      <w:marBottom w:val="0"/>
      <w:divBdr>
        <w:top w:val="none" w:sz="0" w:space="0" w:color="auto"/>
        <w:left w:val="none" w:sz="0" w:space="0" w:color="auto"/>
        <w:bottom w:val="none" w:sz="0" w:space="0" w:color="auto"/>
        <w:right w:val="none" w:sz="0" w:space="0" w:color="auto"/>
      </w:divBdr>
    </w:div>
    <w:div w:id="157157961">
      <w:bodyDiv w:val="1"/>
      <w:marLeft w:val="0"/>
      <w:marRight w:val="0"/>
      <w:marTop w:val="0"/>
      <w:marBottom w:val="0"/>
      <w:divBdr>
        <w:top w:val="none" w:sz="0" w:space="0" w:color="auto"/>
        <w:left w:val="none" w:sz="0" w:space="0" w:color="auto"/>
        <w:bottom w:val="none" w:sz="0" w:space="0" w:color="auto"/>
        <w:right w:val="none" w:sz="0" w:space="0" w:color="auto"/>
      </w:divBdr>
    </w:div>
    <w:div w:id="177280847">
      <w:bodyDiv w:val="1"/>
      <w:marLeft w:val="0"/>
      <w:marRight w:val="0"/>
      <w:marTop w:val="0"/>
      <w:marBottom w:val="0"/>
      <w:divBdr>
        <w:top w:val="none" w:sz="0" w:space="0" w:color="auto"/>
        <w:left w:val="none" w:sz="0" w:space="0" w:color="auto"/>
        <w:bottom w:val="none" w:sz="0" w:space="0" w:color="auto"/>
        <w:right w:val="none" w:sz="0" w:space="0" w:color="auto"/>
      </w:divBdr>
    </w:div>
    <w:div w:id="214898238">
      <w:bodyDiv w:val="1"/>
      <w:marLeft w:val="0"/>
      <w:marRight w:val="0"/>
      <w:marTop w:val="0"/>
      <w:marBottom w:val="0"/>
      <w:divBdr>
        <w:top w:val="none" w:sz="0" w:space="0" w:color="auto"/>
        <w:left w:val="none" w:sz="0" w:space="0" w:color="auto"/>
        <w:bottom w:val="none" w:sz="0" w:space="0" w:color="auto"/>
        <w:right w:val="none" w:sz="0" w:space="0" w:color="auto"/>
      </w:divBdr>
      <w:divsChild>
        <w:div w:id="431052632">
          <w:marLeft w:val="0"/>
          <w:marRight w:val="0"/>
          <w:marTop w:val="0"/>
          <w:marBottom w:val="0"/>
          <w:divBdr>
            <w:top w:val="none" w:sz="0" w:space="0" w:color="auto"/>
            <w:left w:val="none" w:sz="0" w:space="0" w:color="auto"/>
            <w:bottom w:val="none" w:sz="0" w:space="0" w:color="auto"/>
            <w:right w:val="none" w:sz="0" w:space="0" w:color="auto"/>
          </w:divBdr>
        </w:div>
        <w:div w:id="1086458361">
          <w:marLeft w:val="0"/>
          <w:marRight w:val="0"/>
          <w:marTop w:val="0"/>
          <w:marBottom w:val="0"/>
          <w:divBdr>
            <w:top w:val="none" w:sz="0" w:space="0" w:color="auto"/>
            <w:left w:val="none" w:sz="0" w:space="0" w:color="auto"/>
            <w:bottom w:val="none" w:sz="0" w:space="0" w:color="auto"/>
            <w:right w:val="none" w:sz="0" w:space="0" w:color="auto"/>
          </w:divBdr>
        </w:div>
        <w:div w:id="705066230">
          <w:marLeft w:val="0"/>
          <w:marRight w:val="0"/>
          <w:marTop w:val="0"/>
          <w:marBottom w:val="0"/>
          <w:divBdr>
            <w:top w:val="none" w:sz="0" w:space="0" w:color="auto"/>
            <w:left w:val="none" w:sz="0" w:space="0" w:color="auto"/>
            <w:bottom w:val="none" w:sz="0" w:space="0" w:color="auto"/>
            <w:right w:val="none" w:sz="0" w:space="0" w:color="auto"/>
          </w:divBdr>
        </w:div>
        <w:div w:id="2111006494">
          <w:marLeft w:val="0"/>
          <w:marRight w:val="0"/>
          <w:marTop w:val="0"/>
          <w:marBottom w:val="0"/>
          <w:divBdr>
            <w:top w:val="none" w:sz="0" w:space="0" w:color="auto"/>
            <w:left w:val="none" w:sz="0" w:space="0" w:color="auto"/>
            <w:bottom w:val="none" w:sz="0" w:space="0" w:color="auto"/>
            <w:right w:val="none" w:sz="0" w:space="0" w:color="auto"/>
          </w:divBdr>
          <w:divsChild>
            <w:div w:id="977219865">
              <w:marLeft w:val="0"/>
              <w:marRight w:val="0"/>
              <w:marTop w:val="0"/>
              <w:marBottom w:val="0"/>
              <w:divBdr>
                <w:top w:val="none" w:sz="0" w:space="0" w:color="auto"/>
                <w:left w:val="none" w:sz="0" w:space="0" w:color="auto"/>
                <w:bottom w:val="none" w:sz="0" w:space="0" w:color="auto"/>
                <w:right w:val="none" w:sz="0" w:space="0" w:color="auto"/>
              </w:divBdr>
            </w:div>
            <w:div w:id="689261756">
              <w:marLeft w:val="0"/>
              <w:marRight w:val="0"/>
              <w:marTop w:val="0"/>
              <w:marBottom w:val="0"/>
              <w:divBdr>
                <w:top w:val="none" w:sz="0" w:space="0" w:color="auto"/>
                <w:left w:val="none" w:sz="0" w:space="0" w:color="auto"/>
                <w:bottom w:val="none" w:sz="0" w:space="0" w:color="auto"/>
                <w:right w:val="none" w:sz="0" w:space="0" w:color="auto"/>
              </w:divBdr>
            </w:div>
            <w:div w:id="1479566751">
              <w:marLeft w:val="0"/>
              <w:marRight w:val="0"/>
              <w:marTop w:val="0"/>
              <w:marBottom w:val="0"/>
              <w:divBdr>
                <w:top w:val="none" w:sz="0" w:space="0" w:color="auto"/>
                <w:left w:val="none" w:sz="0" w:space="0" w:color="auto"/>
                <w:bottom w:val="none" w:sz="0" w:space="0" w:color="auto"/>
                <w:right w:val="none" w:sz="0" w:space="0" w:color="auto"/>
              </w:divBdr>
            </w:div>
            <w:div w:id="640422324">
              <w:marLeft w:val="0"/>
              <w:marRight w:val="0"/>
              <w:marTop w:val="0"/>
              <w:marBottom w:val="0"/>
              <w:divBdr>
                <w:top w:val="none" w:sz="0" w:space="0" w:color="auto"/>
                <w:left w:val="none" w:sz="0" w:space="0" w:color="auto"/>
                <w:bottom w:val="none" w:sz="0" w:space="0" w:color="auto"/>
                <w:right w:val="none" w:sz="0" w:space="0" w:color="auto"/>
              </w:divBdr>
            </w:div>
            <w:div w:id="819619743">
              <w:marLeft w:val="0"/>
              <w:marRight w:val="0"/>
              <w:marTop w:val="0"/>
              <w:marBottom w:val="0"/>
              <w:divBdr>
                <w:top w:val="none" w:sz="0" w:space="0" w:color="auto"/>
                <w:left w:val="none" w:sz="0" w:space="0" w:color="auto"/>
                <w:bottom w:val="none" w:sz="0" w:space="0" w:color="auto"/>
                <w:right w:val="none" w:sz="0" w:space="0" w:color="auto"/>
              </w:divBdr>
            </w:div>
            <w:div w:id="1550845434">
              <w:marLeft w:val="0"/>
              <w:marRight w:val="0"/>
              <w:marTop w:val="0"/>
              <w:marBottom w:val="0"/>
              <w:divBdr>
                <w:top w:val="none" w:sz="0" w:space="0" w:color="auto"/>
                <w:left w:val="none" w:sz="0" w:space="0" w:color="auto"/>
                <w:bottom w:val="none" w:sz="0" w:space="0" w:color="auto"/>
                <w:right w:val="none" w:sz="0" w:space="0" w:color="auto"/>
              </w:divBdr>
            </w:div>
            <w:div w:id="1291133927">
              <w:marLeft w:val="0"/>
              <w:marRight w:val="0"/>
              <w:marTop w:val="0"/>
              <w:marBottom w:val="0"/>
              <w:divBdr>
                <w:top w:val="none" w:sz="0" w:space="0" w:color="auto"/>
                <w:left w:val="none" w:sz="0" w:space="0" w:color="auto"/>
                <w:bottom w:val="none" w:sz="0" w:space="0" w:color="auto"/>
                <w:right w:val="none" w:sz="0" w:space="0" w:color="auto"/>
              </w:divBdr>
            </w:div>
            <w:div w:id="1813474697">
              <w:marLeft w:val="0"/>
              <w:marRight w:val="0"/>
              <w:marTop w:val="0"/>
              <w:marBottom w:val="0"/>
              <w:divBdr>
                <w:top w:val="none" w:sz="0" w:space="0" w:color="auto"/>
                <w:left w:val="none" w:sz="0" w:space="0" w:color="auto"/>
                <w:bottom w:val="none" w:sz="0" w:space="0" w:color="auto"/>
                <w:right w:val="none" w:sz="0" w:space="0" w:color="auto"/>
              </w:divBdr>
            </w:div>
            <w:div w:id="134192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481778">
      <w:bodyDiv w:val="1"/>
      <w:marLeft w:val="0"/>
      <w:marRight w:val="0"/>
      <w:marTop w:val="0"/>
      <w:marBottom w:val="0"/>
      <w:divBdr>
        <w:top w:val="none" w:sz="0" w:space="0" w:color="auto"/>
        <w:left w:val="none" w:sz="0" w:space="0" w:color="auto"/>
        <w:bottom w:val="none" w:sz="0" w:space="0" w:color="auto"/>
        <w:right w:val="none" w:sz="0" w:space="0" w:color="auto"/>
      </w:divBdr>
    </w:div>
    <w:div w:id="220945948">
      <w:bodyDiv w:val="1"/>
      <w:marLeft w:val="0"/>
      <w:marRight w:val="0"/>
      <w:marTop w:val="0"/>
      <w:marBottom w:val="0"/>
      <w:divBdr>
        <w:top w:val="none" w:sz="0" w:space="0" w:color="auto"/>
        <w:left w:val="none" w:sz="0" w:space="0" w:color="auto"/>
        <w:bottom w:val="none" w:sz="0" w:space="0" w:color="auto"/>
        <w:right w:val="none" w:sz="0" w:space="0" w:color="auto"/>
      </w:divBdr>
    </w:div>
    <w:div w:id="226577869">
      <w:bodyDiv w:val="1"/>
      <w:marLeft w:val="0"/>
      <w:marRight w:val="0"/>
      <w:marTop w:val="0"/>
      <w:marBottom w:val="0"/>
      <w:divBdr>
        <w:top w:val="none" w:sz="0" w:space="0" w:color="auto"/>
        <w:left w:val="none" w:sz="0" w:space="0" w:color="auto"/>
        <w:bottom w:val="none" w:sz="0" w:space="0" w:color="auto"/>
        <w:right w:val="none" w:sz="0" w:space="0" w:color="auto"/>
      </w:divBdr>
    </w:div>
    <w:div w:id="266080033">
      <w:bodyDiv w:val="1"/>
      <w:marLeft w:val="0"/>
      <w:marRight w:val="0"/>
      <w:marTop w:val="0"/>
      <w:marBottom w:val="0"/>
      <w:divBdr>
        <w:top w:val="none" w:sz="0" w:space="0" w:color="auto"/>
        <w:left w:val="none" w:sz="0" w:space="0" w:color="auto"/>
        <w:bottom w:val="none" w:sz="0" w:space="0" w:color="auto"/>
        <w:right w:val="none" w:sz="0" w:space="0" w:color="auto"/>
      </w:divBdr>
      <w:divsChild>
        <w:div w:id="1557548812">
          <w:marLeft w:val="0"/>
          <w:marRight w:val="0"/>
          <w:marTop w:val="0"/>
          <w:marBottom w:val="0"/>
          <w:divBdr>
            <w:top w:val="none" w:sz="0" w:space="0" w:color="auto"/>
            <w:left w:val="none" w:sz="0" w:space="0" w:color="auto"/>
            <w:bottom w:val="none" w:sz="0" w:space="0" w:color="auto"/>
            <w:right w:val="none" w:sz="0" w:space="0" w:color="auto"/>
          </w:divBdr>
          <w:divsChild>
            <w:div w:id="1157725689">
              <w:marLeft w:val="0"/>
              <w:marRight w:val="0"/>
              <w:marTop w:val="0"/>
              <w:marBottom w:val="0"/>
              <w:divBdr>
                <w:top w:val="none" w:sz="0" w:space="0" w:color="auto"/>
                <w:left w:val="none" w:sz="0" w:space="0" w:color="auto"/>
                <w:bottom w:val="none" w:sz="0" w:space="0" w:color="auto"/>
                <w:right w:val="none" w:sz="0" w:space="0" w:color="auto"/>
              </w:divBdr>
              <w:divsChild>
                <w:div w:id="26399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348751">
      <w:bodyDiv w:val="1"/>
      <w:marLeft w:val="0"/>
      <w:marRight w:val="0"/>
      <w:marTop w:val="0"/>
      <w:marBottom w:val="0"/>
      <w:divBdr>
        <w:top w:val="none" w:sz="0" w:space="0" w:color="auto"/>
        <w:left w:val="none" w:sz="0" w:space="0" w:color="auto"/>
        <w:bottom w:val="none" w:sz="0" w:space="0" w:color="auto"/>
        <w:right w:val="none" w:sz="0" w:space="0" w:color="auto"/>
      </w:divBdr>
      <w:divsChild>
        <w:div w:id="1449353932">
          <w:marLeft w:val="0"/>
          <w:marRight w:val="0"/>
          <w:marTop w:val="0"/>
          <w:marBottom w:val="0"/>
          <w:divBdr>
            <w:top w:val="none" w:sz="0" w:space="0" w:color="auto"/>
            <w:left w:val="none" w:sz="0" w:space="0" w:color="auto"/>
            <w:bottom w:val="none" w:sz="0" w:space="0" w:color="auto"/>
            <w:right w:val="none" w:sz="0" w:space="0" w:color="auto"/>
          </w:divBdr>
        </w:div>
        <w:div w:id="1061513772">
          <w:marLeft w:val="0"/>
          <w:marRight w:val="0"/>
          <w:marTop w:val="0"/>
          <w:marBottom w:val="0"/>
          <w:divBdr>
            <w:top w:val="none" w:sz="0" w:space="0" w:color="auto"/>
            <w:left w:val="none" w:sz="0" w:space="0" w:color="auto"/>
            <w:bottom w:val="none" w:sz="0" w:space="0" w:color="auto"/>
            <w:right w:val="none" w:sz="0" w:space="0" w:color="auto"/>
          </w:divBdr>
        </w:div>
        <w:div w:id="1324821670">
          <w:marLeft w:val="0"/>
          <w:marRight w:val="0"/>
          <w:marTop w:val="0"/>
          <w:marBottom w:val="0"/>
          <w:divBdr>
            <w:top w:val="none" w:sz="0" w:space="0" w:color="auto"/>
            <w:left w:val="none" w:sz="0" w:space="0" w:color="auto"/>
            <w:bottom w:val="none" w:sz="0" w:space="0" w:color="auto"/>
            <w:right w:val="none" w:sz="0" w:space="0" w:color="auto"/>
          </w:divBdr>
        </w:div>
        <w:div w:id="2126197399">
          <w:marLeft w:val="0"/>
          <w:marRight w:val="0"/>
          <w:marTop w:val="0"/>
          <w:marBottom w:val="0"/>
          <w:divBdr>
            <w:top w:val="none" w:sz="0" w:space="0" w:color="auto"/>
            <w:left w:val="none" w:sz="0" w:space="0" w:color="auto"/>
            <w:bottom w:val="none" w:sz="0" w:space="0" w:color="auto"/>
            <w:right w:val="none" w:sz="0" w:space="0" w:color="auto"/>
          </w:divBdr>
        </w:div>
        <w:div w:id="1408577283">
          <w:marLeft w:val="0"/>
          <w:marRight w:val="0"/>
          <w:marTop w:val="0"/>
          <w:marBottom w:val="0"/>
          <w:divBdr>
            <w:top w:val="none" w:sz="0" w:space="0" w:color="auto"/>
            <w:left w:val="none" w:sz="0" w:space="0" w:color="auto"/>
            <w:bottom w:val="none" w:sz="0" w:space="0" w:color="auto"/>
            <w:right w:val="none" w:sz="0" w:space="0" w:color="auto"/>
          </w:divBdr>
        </w:div>
      </w:divsChild>
    </w:div>
    <w:div w:id="405343862">
      <w:bodyDiv w:val="1"/>
      <w:marLeft w:val="0"/>
      <w:marRight w:val="0"/>
      <w:marTop w:val="0"/>
      <w:marBottom w:val="0"/>
      <w:divBdr>
        <w:top w:val="none" w:sz="0" w:space="0" w:color="auto"/>
        <w:left w:val="none" w:sz="0" w:space="0" w:color="auto"/>
        <w:bottom w:val="none" w:sz="0" w:space="0" w:color="auto"/>
        <w:right w:val="none" w:sz="0" w:space="0" w:color="auto"/>
      </w:divBdr>
      <w:divsChild>
        <w:div w:id="140124843">
          <w:marLeft w:val="0"/>
          <w:marRight w:val="0"/>
          <w:marTop w:val="0"/>
          <w:marBottom w:val="0"/>
          <w:divBdr>
            <w:top w:val="none" w:sz="0" w:space="0" w:color="auto"/>
            <w:left w:val="none" w:sz="0" w:space="0" w:color="auto"/>
            <w:bottom w:val="none" w:sz="0" w:space="0" w:color="auto"/>
            <w:right w:val="none" w:sz="0" w:space="0" w:color="auto"/>
          </w:divBdr>
        </w:div>
        <w:div w:id="2051883216">
          <w:marLeft w:val="0"/>
          <w:marRight w:val="0"/>
          <w:marTop w:val="0"/>
          <w:marBottom w:val="0"/>
          <w:divBdr>
            <w:top w:val="none" w:sz="0" w:space="0" w:color="auto"/>
            <w:left w:val="none" w:sz="0" w:space="0" w:color="auto"/>
            <w:bottom w:val="none" w:sz="0" w:space="0" w:color="auto"/>
            <w:right w:val="none" w:sz="0" w:space="0" w:color="auto"/>
          </w:divBdr>
        </w:div>
        <w:div w:id="1962226600">
          <w:marLeft w:val="0"/>
          <w:marRight w:val="0"/>
          <w:marTop w:val="0"/>
          <w:marBottom w:val="0"/>
          <w:divBdr>
            <w:top w:val="none" w:sz="0" w:space="0" w:color="auto"/>
            <w:left w:val="none" w:sz="0" w:space="0" w:color="auto"/>
            <w:bottom w:val="none" w:sz="0" w:space="0" w:color="auto"/>
            <w:right w:val="none" w:sz="0" w:space="0" w:color="auto"/>
          </w:divBdr>
        </w:div>
        <w:div w:id="1384789293">
          <w:marLeft w:val="0"/>
          <w:marRight w:val="0"/>
          <w:marTop w:val="0"/>
          <w:marBottom w:val="0"/>
          <w:divBdr>
            <w:top w:val="none" w:sz="0" w:space="0" w:color="auto"/>
            <w:left w:val="none" w:sz="0" w:space="0" w:color="auto"/>
            <w:bottom w:val="none" w:sz="0" w:space="0" w:color="auto"/>
            <w:right w:val="none" w:sz="0" w:space="0" w:color="auto"/>
          </w:divBdr>
        </w:div>
        <w:div w:id="492842241">
          <w:marLeft w:val="0"/>
          <w:marRight w:val="0"/>
          <w:marTop w:val="0"/>
          <w:marBottom w:val="0"/>
          <w:divBdr>
            <w:top w:val="none" w:sz="0" w:space="0" w:color="auto"/>
            <w:left w:val="none" w:sz="0" w:space="0" w:color="auto"/>
            <w:bottom w:val="none" w:sz="0" w:space="0" w:color="auto"/>
            <w:right w:val="none" w:sz="0" w:space="0" w:color="auto"/>
          </w:divBdr>
        </w:div>
      </w:divsChild>
    </w:div>
    <w:div w:id="445780458">
      <w:bodyDiv w:val="1"/>
      <w:marLeft w:val="0"/>
      <w:marRight w:val="0"/>
      <w:marTop w:val="0"/>
      <w:marBottom w:val="0"/>
      <w:divBdr>
        <w:top w:val="none" w:sz="0" w:space="0" w:color="auto"/>
        <w:left w:val="none" w:sz="0" w:space="0" w:color="auto"/>
        <w:bottom w:val="none" w:sz="0" w:space="0" w:color="auto"/>
        <w:right w:val="none" w:sz="0" w:space="0" w:color="auto"/>
      </w:divBdr>
    </w:div>
    <w:div w:id="465469373">
      <w:bodyDiv w:val="1"/>
      <w:marLeft w:val="0"/>
      <w:marRight w:val="0"/>
      <w:marTop w:val="0"/>
      <w:marBottom w:val="0"/>
      <w:divBdr>
        <w:top w:val="none" w:sz="0" w:space="0" w:color="auto"/>
        <w:left w:val="none" w:sz="0" w:space="0" w:color="auto"/>
        <w:bottom w:val="none" w:sz="0" w:space="0" w:color="auto"/>
        <w:right w:val="none" w:sz="0" w:space="0" w:color="auto"/>
      </w:divBdr>
      <w:divsChild>
        <w:div w:id="1124811099">
          <w:marLeft w:val="0"/>
          <w:marRight w:val="0"/>
          <w:marTop w:val="480"/>
          <w:marBottom w:val="0"/>
          <w:divBdr>
            <w:top w:val="none" w:sz="0" w:space="0" w:color="auto"/>
            <w:left w:val="none" w:sz="0" w:space="0" w:color="auto"/>
            <w:bottom w:val="none" w:sz="0" w:space="0" w:color="auto"/>
            <w:right w:val="none" w:sz="0" w:space="0" w:color="auto"/>
          </w:divBdr>
        </w:div>
        <w:div w:id="1354838319">
          <w:marLeft w:val="0"/>
          <w:marRight w:val="0"/>
          <w:marTop w:val="480"/>
          <w:marBottom w:val="0"/>
          <w:divBdr>
            <w:top w:val="none" w:sz="0" w:space="0" w:color="auto"/>
            <w:left w:val="none" w:sz="0" w:space="0" w:color="auto"/>
            <w:bottom w:val="none" w:sz="0" w:space="0" w:color="auto"/>
            <w:right w:val="none" w:sz="0" w:space="0" w:color="auto"/>
          </w:divBdr>
        </w:div>
        <w:div w:id="1726024042">
          <w:marLeft w:val="0"/>
          <w:marRight w:val="0"/>
          <w:marTop w:val="0"/>
          <w:marBottom w:val="0"/>
          <w:divBdr>
            <w:top w:val="none" w:sz="0" w:space="0" w:color="auto"/>
            <w:left w:val="none" w:sz="0" w:space="0" w:color="auto"/>
            <w:bottom w:val="none" w:sz="0" w:space="0" w:color="auto"/>
            <w:right w:val="none" w:sz="0" w:space="0" w:color="auto"/>
          </w:divBdr>
        </w:div>
        <w:div w:id="573130934">
          <w:marLeft w:val="0"/>
          <w:marRight w:val="0"/>
          <w:marTop w:val="480"/>
          <w:marBottom w:val="0"/>
          <w:divBdr>
            <w:top w:val="none" w:sz="0" w:space="0" w:color="auto"/>
            <w:left w:val="none" w:sz="0" w:space="0" w:color="auto"/>
            <w:bottom w:val="none" w:sz="0" w:space="0" w:color="auto"/>
            <w:right w:val="none" w:sz="0" w:space="0" w:color="auto"/>
          </w:divBdr>
        </w:div>
        <w:div w:id="178929075">
          <w:marLeft w:val="0"/>
          <w:marRight w:val="0"/>
          <w:marTop w:val="480"/>
          <w:marBottom w:val="0"/>
          <w:divBdr>
            <w:top w:val="none" w:sz="0" w:space="0" w:color="auto"/>
            <w:left w:val="none" w:sz="0" w:space="0" w:color="auto"/>
            <w:bottom w:val="none" w:sz="0" w:space="0" w:color="auto"/>
            <w:right w:val="none" w:sz="0" w:space="0" w:color="auto"/>
          </w:divBdr>
        </w:div>
      </w:divsChild>
    </w:div>
    <w:div w:id="470633654">
      <w:bodyDiv w:val="1"/>
      <w:marLeft w:val="0"/>
      <w:marRight w:val="0"/>
      <w:marTop w:val="0"/>
      <w:marBottom w:val="0"/>
      <w:divBdr>
        <w:top w:val="none" w:sz="0" w:space="0" w:color="auto"/>
        <w:left w:val="none" w:sz="0" w:space="0" w:color="auto"/>
        <w:bottom w:val="none" w:sz="0" w:space="0" w:color="auto"/>
        <w:right w:val="none" w:sz="0" w:space="0" w:color="auto"/>
      </w:divBdr>
      <w:divsChild>
        <w:div w:id="194391337">
          <w:marLeft w:val="0"/>
          <w:marRight w:val="0"/>
          <w:marTop w:val="0"/>
          <w:marBottom w:val="0"/>
          <w:divBdr>
            <w:top w:val="none" w:sz="0" w:space="0" w:color="auto"/>
            <w:left w:val="none" w:sz="0" w:space="0" w:color="auto"/>
            <w:bottom w:val="none" w:sz="0" w:space="0" w:color="auto"/>
            <w:right w:val="none" w:sz="0" w:space="0" w:color="auto"/>
          </w:divBdr>
          <w:divsChild>
            <w:div w:id="779229453">
              <w:marLeft w:val="0"/>
              <w:marRight w:val="0"/>
              <w:marTop w:val="0"/>
              <w:marBottom w:val="0"/>
              <w:divBdr>
                <w:top w:val="none" w:sz="0" w:space="0" w:color="auto"/>
                <w:left w:val="none" w:sz="0" w:space="0" w:color="auto"/>
                <w:bottom w:val="none" w:sz="0" w:space="0" w:color="auto"/>
                <w:right w:val="none" w:sz="0" w:space="0" w:color="auto"/>
              </w:divBdr>
              <w:divsChild>
                <w:div w:id="203492683">
                  <w:marLeft w:val="0"/>
                  <w:marRight w:val="0"/>
                  <w:marTop w:val="0"/>
                  <w:marBottom w:val="0"/>
                  <w:divBdr>
                    <w:top w:val="none" w:sz="0" w:space="0" w:color="auto"/>
                    <w:left w:val="none" w:sz="0" w:space="0" w:color="auto"/>
                    <w:bottom w:val="none" w:sz="0" w:space="0" w:color="auto"/>
                    <w:right w:val="none" w:sz="0" w:space="0" w:color="auto"/>
                  </w:divBdr>
                  <w:divsChild>
                    <w:div w:id="650865331">
                      <w:marLeft w:val="0"/>
                      <w:marRight w:val="0"/>
                      <w:marTop w:val="0"/>
                      <w:marBottom w:val="0"/>
                      <w:divBdr>
                        <w:top w:val="none" w:sz="0" w:space="0" w:color="auto"/>
                        <w:left w:val="none" w:sz="0" w:space="0" w:color="auto"/>
                        <w:bottom w:val="none" w:sz="0" w:space="0" w:color="auto"/>
                        <w:right w:val="none" w:sz="0" w:space="0" w:color="auto"/>
                      </w:divBdr>
                      <w:divsChild>
                        <w:div w:id="1996565193">
                          <w:marLeft w:val="0"/>
                          <w:marRight w:val="0"/>
                          <w:marTop w:val="0"/>
                          <w:marBottom w:val="0"/>
                          <w:divBdr>
                            <w:top w:val="none" w:sz="0" w:space="0" w:color="auto"/>
                            <w:left w:val="none" w:sz="0" w:space="0" w:color="auto"/>
                            <w:bottom w:val="none" w:sz="0" w:space="0" w:color="auto"/>
                            <w:right w:val="none" w:sz="0" w:space="0" w:color="auto"/>
                          </w:divBdr>
                          <w:divsChild>
                            <w:div w:id="2055040051">
                              <w:marLeft w:val="0"/>
                              <w:marRight w:val="0"/>
                              <w:marTop w:val="0"/>
                              <w:marBottom w:val="0"/>
                              <w:divBdr>
                                <w:top w:val="none" w:sz="0" w:space="0" w:color="auto"/>
                                <w:left w:val="none" w:sz="0" w:space="0" w:color="auto"/>
                                <w:bottom w:val="none" w:sz="0" w:space="0" w:color="auto"/>
                                <w:right w:val="none" w:sz="0" w:space="0" w:color="auto"/>
                              </w:divBdr>
                            </w:div>
                          </w:divsChild>
                        </w:div>
                        <w:div w:id="722022040">
                          <w:marLeft w:val="0"/>
                          <w:marRight w:val="0"/>
                          <w:marTop w:val="0"/>
                          <w:marBottom w:val="0"/>
                          <w:divBdr>
                            <w:top w:val="none" w:sz="0" w:space="0" w:color="auto"/>
                            <w:left w:val="none" w:sz="0" w:space="0" w:color="auto"/>
                            <w:bottom w:val="none" w:sz="0" w:space="0" w:color="auto"/>
                            <w:right w:val="none" w:sz="0" w:space="0" w:color="auto"/>
                          </w:divBdr>
                          <w:divsChild>
                            <w:div w:id="1867479637">
                              <w:marLeft w:val="0"/>
                              <w:marRight w:val="0"/>
                              <w:marTop w:val="0"/>
                              <w:marBottom w:val="0"/>
                              <w:divBdr>
                                <w:top w:val="none" w:sz="0" w:space="0" w:color="auto"/>
                                <w:left w:val="none" w:sz="0" w:space="0" w:color="auto"/>
                                <w:bottom w:val="none" w:sz="0" w:space="0" w:color="auto"/>
                                <w:right w:val="none" w:sz="0" w:space="0" w:color="auto"/>
                              </w:divBdr>
                            </w:div>
                          </w:divsChild>
                        </w:div>
                        <w:div w:id="511261041">
                          <w:marLeft w:val="0"/>
                          <w:marRight w:val="0"/>
                          <w:marTop w:val="0"/>
                          <w:marBottom w:val="0"/>
                          <w:divBdr>
                            <w:top w:val="none" w:sz="0" w:space="0" w:color="auto"/>
                            <w:left w:val="none" w:sz="0" w:space="0" w:color="auto"/>
                            <w:bottom w:val="none" w:sz="0" w:space="0" w:color="auto"/>
                            <w:right w:val="none" w:sz="0" w:space="0" w:color="auto"/>
                          </w:divBdr>
                          <w:divsChild>
                            <w:div w:id="39985008">
                              <w:marLeft w:val="0"/>
                              <w:marRight w:val="0"/>
                              <w:marTop w:val="0"/>
                              <w:marBottom w:val="0"/>
                              <w:divBdr>
                                <w:top w:val="none" w:sz="0" w:space="0" w:color="auto"/>
                                <w:left w:val="none" w:sz="0" w:space="0" w:color="auto"/>
                                <w:bottom w:val="none" w:sz="0" w:space="0" w:color="auto"/>
                                <w:right w:val="none" w:sz="0" w:space="0" w:color="auto"/>
                              </w:divBdr>
                            </w:div>
                          </w:divsChild>
                        </w:div>
                        <w:div w:id="1614511784">
                          <w:marLeft w:val="0"/>
                          <w:marRight w:val="0"/>
                          <w:marTop w:val="0"/>
                          <w:marBottom w:val="0"/>
                          <w:divBdr>
                            <w:top w:val="none" w:sz="0" w:space="0" w:color="auto"/>
                            <w:left w:val="none" w:sz="0" w:space="0" w:color="auto"/>
                            <w:bottom w:val="none" w:sz="0" w:space="0" w:color="auto"/>
                            <w:right w:val="none" w:sz="0" w:space="0" w:color="auto"/>
                          </w:divBdr>
                          <w:divsChild>
                            <w:div w:id="1235313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112043">
                  <w:marLeft w:val="0"/>
                  <w:marRight w:val="0"/>
                  <w:marTop w:val="0"/>
                  <w:marBottom w:val="0"/>
                  <w:divBdr>
                    <w:top w:val="none" w:sz="0" w:space="0" w:color="auto"/>
                    <w:left w:val="none" w:sz="0" w:space="0" w:color="auto"/>
                    <w:bottom w:val="none" w:sz="0" w:space="0" w:color="auto"/>
                    <w:right w:val="none" w:sz="0" w:space="0" w:color="auto"/>
                  </w:divBdr>
                  <w:divsChild>
                    <w:div w:id="210580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641">
          <w:marLeft w:val="0"/>
          <w:marRight w:val="0"/>
          <w:marTop w:val="0"/>
          <w:marBottom w:val="0"/>
          <w:divBdr>
            <w:top w:val="none" w:sz="0" w:space="0" w:color="auto"/>
            <w:left w:val="none" w:sz="0" w:space="0" w:color="auto"/>
            <w:bottom w:val="none" w:sz="0" w:space="0" w:color="auto"/>
            <w:right w:val="none" w:sz="0" w:space="0" w:color="auto"/>
          </w:divBdr>
          <w:divsChild>
            <w:div w:id="47193694">
              <w:marLeft w:val="0"/>
              <w:marRight w:val="0"/>
              <w:marTop w:val="0"/>
              <w:marBottom w:val="0"/>
              <w:divBdr>
                <w:top w:val="none" w:sz="0" w:space="0" w:color="auto"/>
                <w:left w:val="none" w:sz="0" w:space="0" w:color="auto"/>
                <w:bottom w:val="none" w:sz="0" w:space="0" w:color="auto"/>
                <w:right w:val="none" w:sz="0" w:space="0" w:color="auto"/>
              </w:divBdr>
              <w:divsChild>
                <w:div w:id="2119907558">
                  <w:marLeft w:val="0"/>
                  <w:marRight w:val="0"/>
                  <w:marTop w:val="0"/>
                  <w:marBottom w:val="0"/>
                  <w:divBdr>
                    <w:top w:val="none" w:sz="0" w:space="0" w:color="auto"/>
                    <w:left w:val="none" w:sz="0" w:space="0" w:color="auto"/>
                    <w:bottom w:val="none" w:sz="0" w:space="0" w:color="auto"/>
                    <w:right w:val="none" w:sz="0" w:space="0" w:color="auto"/>
                  </w:divBdr>
                  <w:divsChild>
                    <w:div w:id="266348053">
                      <w:marLeft w:val="0"/>
                      <w:marRight w:val="0"/>
                      <w:marTop w:val="0"/>
                      <w:marBottom w:val="0"/>
                      <w:divBdr>
                        <w:top w:val="none" w:sz="0" w:space="0" w:color="auto"/>
                        <w:left w:val="none" w:sz="0" w:space="0" w:color="auto"/>
                        <w:bottom w:val="none" w:sz="0" w:space="0" w:color="auto"/>
                        <w:right w:val="none" w:sz="0" w:space="0" w:color="auto"/>
                      </w:divBdr>
                    </w:div>
                  </w:divsChild>
                </w:div>
                <w:div w:id="1864660173">
                  <w:marLeft w:val="0"/>
                  <w:marRight w:val="0"/>
                  <w:marTop w:val="0"/>
                  <w:marBottom w:val="0"/>
                  <w:divBdr>
                    <w:top w:val="none" w:sz="0" w:space="0" w:color="auto"/>
                    <w:left w:val="none" w:sz="0" w:space="0" w:color="auto"/>
                    <w:bottom w:val="none" w:sz="0" w:space="0" w:color="auto"/>
                    <w:right w:val="none" w:sz="0" w:space="0" w:color="auto"/>
                  </w:divBdr>
                  <w:divsChild>
                    <w:div w:id="752973979">
                      <w:marLeft w:val="0"/>
                      <w:marRight w:val="0"/>
                      <w:marTop w:val="0"/>
                      <w:marBottom w:val="0"/>
                      <w:divBdr>
                        <w:top w:val="none" w:sz="0" w:space="0" w:color="auto"/>
                        <w:left w:val="none" w:sz="0" w:space="0" w:color="auto"/>
                        <w:bottom w:val="none" w:sz="0" w:space="0" w:color="auto"/>
                        <w:right w:val="none" w:sz="0" w:space="0" w:color="auto"/>
                      </w:divBdr>
                      <w:divsChild>
                        <w:div w:id="206020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757574">
      <w:bodyDiv w:val="1"/>
      <w:marLeft w:val="0"/>
      <w:marRight w:val="0"/>
      <w:marTop w:val="0"/>
      <w:marBottom w:val="0"/>
      <w:divBdr>
        <w:top w:val="none" w:sz="0" w:space="0" w:color="auto"/>
        <w:left w:val="none" w:sz="0" w:space="0" w:color="auto"/>
        <w:bottom w:val="none" w:sz="0" w:space="0" w:color="auto"/>
        <w:right w:val="none" w:sz="0" w:space="0" w:color="auto"/>
      </w:divBdr>
    </w:div>
    <w:div w:id="585305731">
      <w:bodyDiv w:val="1"/>
      <w:marLeft w:val="0"/>
      <w:marRight w:val="0"/>
      <w:marTop w:val="0"/>
      <w:marBottom w:val="0"/>
      <w:divBdr>
        <w:top w:val="none" w:sz="0" w:space="0" w:color="auto"/>
        <w:left w:val="none" w:sz="0" w:space="0" w:color="auto"/>
        <w:bottom w:val="none" w:sz="0" w:space="0" w:color="auto"/>
        <w:right w:val="none" w:sz="0" w:space="0" w:color="auto"/>
      </w:divBdr>
    </w:div>
    <w:div w:id="604382233">
      <w:bodyDiv w:val="1"/>
      <w:marLeft w:val="0"/>
      <w:marRight w:val="0"/>
      <w:marTop w:val="0"/>
      <w:marBottom w:val="0"/>
      <w:divBdr>
        <w:top w:val="none" w:sz="0" w:space="0" w:color="auto"/>
        <w:left w:val="none" w:sz="0" w:space="0" w:color="auto"/>
        <w:bottom w:val="none" w:sz="0" w:space="0" w:color="auto"/>
        <w:right w:val="none" w:sz="0" w:space="0" w:color="auto"/>
      </w:divBdr>
    </w:div>
    <w:div w:id="674653170">
      <w:bodyDiv w:val="1"/>
      <w:marLeft w:val="0"/>
      <w:marRight w:val="0"/>
      <w:marTop w:val="0"/>
      <w:marBottom w:val="0"/>
      <w:divBdr>
        <w:top w:val="none" w:sz="0" w:space="0" w:color="auto"/>
        <w:left w:val="none" w:sz="0" w:space="0" w:color="auto"/>
        <w:bottom w:val="none" w:sz="0" w:space="0" w:color="auto"/>
        <w:right w:val="none" w:sz="0" w:space="0" w:color="auto"/>
      </w:divBdr>
    </w:div>
    <w:div w:id="720246198">
      <w:bodyDiv w:val="1"/>
      <w:marLeft w:val="0"/>
      <w:marRight w:val="0"/>
      <w:marTop w:val="0"/>
      <w:marBottom w:val="0"/>
      <w:divBdr>
        <w:top w:val="none" w:sz="0" w:space="0" w:color="auto"/>
        <w:left w:val="none" w:sz="0" w:space="0" w:color="auto"/>
        <w:bottom w:val="none" w:sz="0" w:space="0" w:color="auto"/>
        <w:right w:val="none" w:sz="0" w:space="0" w:color="auto"/>
      </w:divBdr>
      <w:divsChild>
        <w:div w:id="573390662">
          <w:marLeft w:val="0"/>
          <w:marRight w:val="0"/>
          <w:marTop w:val="0"/>
          <w:marBottom w:val="0"/>
          <w:divBdr>
            <w:top w:val="none" w:sz="0" w:space="0" w:color="auto"/>
            <w:left w:val="none" w:sz="0" w:space="0" w:color="auto"/>
            <w:bottom w:val="none" w:sz="0" w:space="0" w:color="auto"/>
            <w:right w:val="none" w:sz="0" w:space="0" w:color="auto"/>
          </w:divBdr>
          <w:divsChild>
            <w:div w:id="2087720692">
              <w:marLeft w:val="0"/>
              <w:marRight w:val="0"/>
              <w:marTop w:val="0"/>
              <w:marBottom w:val="0"/>
              <w:divBdr>
                <w:top w:val="none" w:sz="0" w:space="0" w:color="auto"/>
                <w:left w:val="none" w:sz="0" w:space="0" w:color="auto"/>
                <w:bottom w:val="none" w:sz="0" w:space="0" w:color="auto"/>
                <w:right w:val="none" w:sz="0" w:space="0" w:color="auto"/>
              </w:divBdr>
            </w:div>
          </w:divsChild>
        </w:div>
        <w:div w:id="475882647">
          <w:marLeft w:val="0"/>
          <w:marRight w:val="0"/>
          <w:marTop w:val="0"/>
          <w:marBottom w:val="0"/>
          <w:divBdr>
            <w:top w:val="none" w:sz="0" w:space="0" w:color="auto"/>
            <w:left w:val="none" w:sz="0" w:space="0" w:color="auto"/>
            <w:bottom w:val="none" w:sz="0" w:space="0" w:color="auto"/>
            <w:right w:val="none" w:sz="0" w:space="0" w:color="auto"/>
          </w:divBdr>
          <w:divsChild>
            <w:div w:id="675348547">
              <w:marLeft w:val="0"/>
              <w:marRight w:val="0"/>
              <w:marTop w:val="0"/>
              <w:marBottom w:val="0"/>
              <w:divBdr>
                <w:top w:val="none" w:sz="0" w:space="0" w:color="auto"/>
                <w:left w:val="none" w:sz="0" w:space="0" w:color="auto"/>
                <w:bottom w:val="none" w:sz="0" w:space="0" w:color="auto"/>
                <w:right w:val="none" w:sz="0" w:space="0" w:color="auto"/>
              </w:divBdr>
              <w:divsChild>
                <w:div w:id="494801302">
                  <w:marLeft w:val="0"/>
                  <w:marRight w:val="0"/>
                  <w:marTop w:val="0"/>
                  <w:marBottom w:val="0"/>
                  <w:divBdr>
                    <w:top w:val="none" w:sz="0" w:space="0" w:color="auto"/>
                    <w:left w:val="none" w:sz="0" w:space="0" w:color="auto"/>
                    <w:bottom w:val="none" w:sz="0" w:space="0" w:color="auto"/>
                    <w:right w:val="none" w:sz="0" w:space="0" w:color="auto"/>
                  </w:divBdr>
                  <w:divsChild>
                    <w:div w:id="2025747385">
                      <w:marLeft w:val="0"/>
                      <w:marRight w:val="0"/>
                      <w:marTop w:val="0"/>
                      <w:marBottom w:val="0"/>
                      <w:divBdr>
                        <w:top w:val="none" w:sz="0" w:space="0" w:color="auto"/>
                        <w:left w:val="none" w:sz="0" w:space="0" w:color="auto"/>
                        <w:bottom w:val="none" w:sz="0" w:space="0" w:color="auto"/>
                        <w:right w:val="none" w:sz="0" w:space="0" w:color="auto"/>
                      </w:divBdr>
                      <w:divsChild>
                        <w:div w:id="2132967296">
                          <w:marLeft w:val="0"/>
                          <w:marRight w:val="0"/>
                          <w:marTop w:val="0"/>
                          <w:marBottom w:val="0"/>
                          <w:divBdr>
                            <w:top w:val="none" w:sz="0" w:space="0" w:color="auto"/>
                            <w:left w:val="none" w:sz="0" w:space="0" w:color="auto"/>
                            <w:bottom w:val="none" w:sz="0" w:space="0" w:color="auto"/>
                            <w:right w:val="none" w:sz="0" w:space="0" w:color="auto"/>
                          </w:divBdr>
                          <w:divsChild>
                            <w:div w:id="420760791">
                              <w:marLeft w:val="0"/>
                              <w:marRight w:val="0"/>
                              <w:marTop w:val="0"/>
                              <w:marBottom w:val="0"/>
                              <w:divBdr>
                                <w:top w:val="none" w:sz="0" w:space="0" w:color="auto"/>
                                <w:left w:val="none" w:sz="0" w:space="0" w:color="auto"/>
                                <w:bottom w:val="none" w:sz="0" w:space="0" w:color="auto"/>
                                <w:right w:val="none" w:sz="0" w:space="0" w:color="auto"/>
                              </w:divBdr>
                              <w:divsChild>
                                <w:div w:id="339695566">
                                  <w:marLeft w:val="0"/>
                                  <w:marRight w:val="0"/>
                                  <w:marTop w:val="0"/>
                                  <w:marBottom w:val="0"/>
                                  <w:divBdr>
                                    <w:top w:val="none" w:sz="0" w:space="0" w:color="auto"/>
                                    <w:left w:val="none" w:sz="0" w:space="0" w:color="auto"/>
                                    <w:bottom w:val="none" w:sz="0" w:space="0" w:color="auto"/>
                                    <w:right w:val="none" w:sz="0" w:space="0" w:color="auto"/>
                                  </w:divBdr>
                                  <w:divsChild>
                                    <w:div w:id="21708795">
                                      <w:marLeft w:val="0"/>
                                      <w:marRight w:val="0"/>
                                      <w:marTop w:val="0"/>
                                      <w:marBottom w:val="0"/>
                                      <w:divBdr>
                                        <w:top w:val="none" w:sz="0" w:space="0" w:color="auto"/>
                                        <w:left w:val="none" w:sz="0" w:space="0" w:color="auto"/>
                                        <w:bottom w:val="none" w:sz="0" w:space="0" w:color="auto"/>
                                        <w:right w:val="none" w:sz="0" w:space="0" w:color="auto"/>
                                      </w:divBdr>
                                      <w:divsChild>
                                        <w:div w:id="177433619">
                                          <w:marLeft w:val="0"/>
                                          <w:marRight w:val="0"/>
                                          <w:marTop w:val="0"/>
                                          <w:marBottom w:val="0"/>
                                          <w:divBdr>
                                            <w:top w:val="none" w:sz="0" w:space="0" w:color="auto"/>
                                            <w:left w:val="none" w:sz="0" w:space="0" w:color="auto"/>
                                            <w:bottom w:val="none" w:sz="0" w:space="0" w:color="auto"/>
                                            <w:right w:val="none" w:sz="0" w:space="0" w:color="auto"/>
                                          </w:divBdr>
                                        </w:div>
                                        <w:div w:id="1663779884">
                                          <w:marLeft w:val="0"/>
                                          <w:marRight w:val="0"/>
                                          <w:marTop w:val="0"/>
                                          <w:marBottom w:val="0"/>
                                          <w:divBdr>
                                            <w:top w:val="none" w:sz="0" w:space="0" w:color="auto"/>
                                            <w:left w:val="none" w:sz="0" w:space="0" w:color="auto"/>
                                            <w:bottom w:val="none" w:sz="0" w:space="0" w:color="auto"/>
                                            <w:right w:val="none" w:sz="0" w:space="0" w:color="auto"/>
                                          </w:divBdr>
                                          <w:divsChild>
                                            <w:div w:id="1341394867">
                                              <w:marLeft w:val="0"/>
                                              <w:marRight w:val="0"/>
                                              <w:marTop w:val="0"/>
                                              <w:marBottom w:val="0"/>
                                              <w:divBdr>
                                                <w:top w:val="none" w:sz="0" w:space="0" w:color="auto"/>
                                                <w:left w:val="none" w:sz="0" w:space="0" w:color="auto"/>
                                                <w:bottom w:val="none" w:sz="0" w:space="0" w:color="auto"/>
                                                <w:right w:val="none" w:sz="0" w:space="0" w:color="auto"/>
                                              </w:divBdr>
                                            </w:div>
                                          </w:divsChild>
                                        </w:div>
                                        <w:div w:id="543450242">
                                          <w:marLeft w:val="0"/>
                                          <w:marRight w:val="0"/>
                                          <w:marTop w:val="0"/>
                                          <w:marBottom w:val="0"/>
                                          <w:divBdr>
                                            <w:top w:val="none" w:sz="0" w:space="0" w:color="auto"/>
                                            <w:left w:val="none" w:sz="0" w:space="0" w:color="auto"/>
                                            <w:bottom w:val="none" w:sz="0" w:space="0" w:color="auto"/>
                                            <w:right w:val="none" w:sz="0" w:space="0" w:color="auto"/>
                                          </w:divBdr>
                                          <w:divsChild>
                                            <w:div w:id="200431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26554436">
      <w:bodyDiv w:val="1"/>
      <w:marLeft w:val="0"/>
      <w:marRight w:val="0"/>
      <w:marTop w:val="0"/>
      <w:marBottom w:val="0"/>
      <w:divBdr>
        <w:top w:val="none" w:sz="0" w:space="0" w:color="auto"/>
        <w:left w:val="none" w:sz="0" w:space="0" w:color="auto"/>
        <w:bottom w:val="none" w:sz="0" w:space="0" w:color="auto"/>
        <w:right w:val="none" w:sz="0" w:space="0" w:color="auto"/>
      </w:divBdr>
    </w:div>
    <w:div w:id="831876608">
      <w:bodyDiv w:val="1"/>
      <w:marLeft w:val="0"/>
      <w:marRight w:val="0"/>
      <w:marTop w:val="0"/>
      <w:marBottom w:val="0"/>
      <w:divBdr>
        <w:top w:val="none" w:sz="0" w:space="0" w:color="auto"/>
        <w:left w:val="none" w:sz="0" w:space="0" w:color="auto"/>
        <w:bottom w:val="none" w:sz="0" w:space="0" w:color="auto"/>
        <w:right w:val="none" w:sz="0" w:space="0" w:color="auto"/>
      </w:divBdr>
    </w:div>
    <w:div w:id="844588148">
      <w:bodyDiv w:val="1"/>
      <w:marLeft w:val="0"/>
      <w:marRight w:val="0"/>
      <w:marTop w:val="0"/>
      <w:marBottom w:val="0"/>
      <w:divBdr>
        <w:top w:val="none" w:sz="0" w:space="0" w:color="auto"/>
        <w:left w:val="none" w:sz="0" w:space="0" w:color="auto"/>
        <w:bottom w:val="none" w:sz="0" w:space="0" w:color="auto"/>
        <w:right w:val="none" w:sz="0" w:space="0" w:color="auto"/>
      </w:divBdr>
    </w:div>
    <w:div w:id="852457106">
      <w:bodyDiv w:val="1"/>
      <w:marLeft w:val="0"/>
      <w:marRight w:val="0"/>
      <w:marTop w:val="0"/>
      <w:marBottom w:val="0"/>
      <w:divBdr>
        <w:top w:val="none" w:sz="0" w:space="0" w:color="auto"/>
        <w:left w:val="none" w:sz="0" w:space="0" w:color="auto"/>
        <w:bottom w:val="none" w:sz="0" w:space="0" w:color="auto"/>
        <w:right w:val="none" w:sz="0" w:space="0" w:color="auto"/>
      </w:divBdr>
    </w:div>
    <w:div w:id="860171377">
      <w:bodyDiv w:val="1"/>
      <w:marLeft w:val="0"/>
      <w:marRight w:val="0"/>
      <w:marTop w:val="0"/>
      <w:marBottom w:val="0"/>
      <w:divBdr>
        <w:top w:val="none" w:sz="0" w:space="0" w:color="auto"/>
        <w:left w:val="none" w:sz="0" w:space="0" w:color="auto"/>
        <w:bottom w:val="none" w:sz="0" w:space="0" w:color="auto"/>
        <w:right w:val="none" w:sz="0" w:space="0" w:color="auto"/>
      </w:divBdr>
    </w:div>
    <w:div w:id="1044985158">
      <w:bodyDiv w:val="1"/>
      <w:marLeft w:val="0"/>
      <w:marRight w:val="0"/>
      <w:marTop w:val="0"/>
      <w:marBottom w:val="0"/>
      <w:divBdr>
        <w:top w:val="none" w:sz="0" w:space="0" w:color="auto"/>
        <w:left w:val="none" w:sz="0" w:space="0" w:color="auto"/>
        <w:bottom w:val="none" w:sz="0" w:space="0" w:color="auto"/>
        <w:right w:val="none" w:sz="0" w:space="0" w:color="auto"/>
      </w:divBdr>
      <w:divsChild>
        <w:div w:id="1504663777">
          <w:marLeft w:val="0"/>
          <w:marRight w:val="0"/>
          <w:marTop w:val="0"/>
          <w:marBottom w:val="0"/>
          <w:divBdr>
            <w:top w:val="none" w:sz="0" w:space="0" w:color="auto"/>
            <w:left w:val="none" w:sz="0" w:space="0" w:color="auto"/>
            <w:bottom w:val="none" w:sz="0" w:space="0" w:color="auto"/>
            <w:right w:val="none" w:sz="0" w:space="0" w:color="auto"/>
          </w:divBdr>
        </w:div>
        <w:div w:id="1408458637">
          <w:marLeft w:val="0"/>
          <w:marRight w:val="0"/>
          <w:marTop w:val="480"/>
          <w:marBottom w:val="0"/>
          <w:divBdr>
            <w:top w:val="none" w:sz="0" w:space="0" w:color="auto"/>
            <w:left w:val="none" w:sz="0" w:space="0" w:color="auto"/>
            <w:bottom w:val="none" w:sz="0" w:space="0" w:color="auto"/>
            <w:right w:val="none" w:sz="0" w:space="0" w:color="auto"/>
          </w:divBdr>
        </w:div>
      </w:divsChild>
    </w:div>
    <w:div w:id="1045911986">
      <w:bodyDiv w:val="1"/>
      <w:marLeft w:val="0"/>
      <w:marRight w:val="0"/>
      <w:marTop w:val="0"/>
      <w:marBottom w:val="0"/>
      <w:divBdr>
        <w:top w:val="none" w:sz="0" w:space="0" w:color="auto"/>
        <w:left w:val="none" w:sz="0" w:space="0" w:color="auto"/>
        <w:bottom w:val="none" w:sz="0" w:space="0" w:color="auto"/>
        <w:right w:val="none" w:sz="0" w:space="0" w:color="auto"/>
      </w:divBdr>
    </w:div>
    <w:div w:id="1054352132">
      <w:bodyDiv w:val="1"/>
      <w:marLeft w:val="0"/>
      <w:marRight w:val="0"/>
      <w:marTop w:val="0"/>
      <w:marBottom w:val="0"/>
      <w:divBdr>
        <w:top w:val="none" w:sz="0" w:space="0" w:color="auto"/>
        <w:left w:val="none" w:sz="0" w:space="0" w:color="auto"/>
        <w:bottom w:val="none" w:sz="0" w:space="0" w:color="auto"/>
        <w:right w:val="none" w:sz="0" w:space="0" w:color="auto"/>
      </w:divBdr>
      <w:divsChild>
        <w:div w:id="289093561">
          <w:marLeft w:val="0"/>
          <w:marRight w:val="0"/>
          <w:marTop w:val="0"/>
          <w:marBottom w:val="0"/>
          <w:divBdr>
            <w:top w:val="none" w:sz="0" w:space="0" w:color="auto"/>
            <w:left w:val="none" w:sz="0" w:space="0" w:color="auto"/>
            <w:bottom w:val="none" w:sz="0" w:space="0" w:color="auto"/>
            <w:right w:val="none" w:sz="0" w:space="0" w:color="auto"/>
          </w:divBdr>
          <w:divsChild>
            <w:div w:id="155848205">
              <w:marLeft w:val="0"/>
              <w:marRight w:val="0"/>
              <w:marTop w:val="0"/>
              <w:marBottom w:val="0"/>
              <w:divBdr>
                <w:top w:val="none" w:sz="0" w:space="0" w:color="auto"/>
                <w:left w:val="none" w:sz="0" w:space="0" w:color="auto"/>
                <w:bottom w:val="none" w:sz="0" w:space="0" w:color="auto"/>
                <w:right w:val="none" w:sz="0" w:space="0" w:color="auto"/>
              </w:divBdr>
              <w:divsChild>
                <w:div w:id="201761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000665">
      <w:bodyDiv w:val="1"/>
      <w:marLeft w:val="0"/>
      <w:marRight w:val="0"/>
      <w:marTop w:val="0"/>
      <w:marBottom w:val="0"/>
      <w:divBdr>
        <w:top w:val="none" w:sz="0" w:space="0" w:color="auto"/>
        <w:left w:val="none" w:sz="0" w:space="0" w:color="auto"/>
        <w:bottom w:val="none" w:sz="0" w:space="0" w:color="auto"/>
        <w:right w:val="none" w:sz="0" w:space="0" w:color="auto"/>
      </w:divBdr>
    </w:div>
    <w:div w:id="1185023845">
      <w:bodyDiv w:val="1"/>
      <w:marLeft w:val="0"/>
      <w:marRight w:val="0"/>
      <w:marTop w:val="0"/>
      <w:marBottom w:val="0"/>
      <w:divBdr>
        <w:top w:val="none" w:sz="0" w:space="0" w:color="auto"/>
        <w:left w:val="none" w:sz="0" w:space="0" w:color="auto"/>
        <w:bottom w:val="none" w:sz="0" w:space="0" w:color="auto"/>
        <w:right w:val="none" w:sz="0" w:space="0" w:color="auto"/>
      </w:divBdr>
    </w:div>
    <w:div w:id="1189373027">
      <w:bodyDiv w:val="1"/>
      <w:marLeft w:val="0"/>
      <w:marRight w:val="0"/>
      <w:marTop w:val="0"/>
      <w:marBottom w:val="0"/>
      <w:divBdr>
        <w:top w:val="none" w:sz="0" w:space="0" w:color="auto"/>
        <w:left w:val="none" w:sz="0" w:space="0" w:color="auto"/>
        <w:bottom w:val="none" w:sz="0" w:space="0" w:color="auto"/>
        <w:right w:val="none" w:sz="0" w:space="0" w:color="auto"/>
      </w:divBdr>
      <w:divsChild>
        <w:div w:id="146479688">
          <w:marLeft w:val="0"/>
          <w:marRight w:val="0"/>
          <w:marTop w:val="0"/>
          <w:marBottom w:val="0"/>
          <w:divBdr>
            <w:top w:val="none" w:sz="0" w:space="0" w:color="auto"/>
            <w:left w:val="none" w:sz="0" w:space="0" w:color="auto"/>
            <w:bottom w:val="none" w:sz="0" w:space="0" w:color="auto"/>
            <w:right w:val="none" w:sz="0" w:space="0" w:color="auto"/>
          </w:divBdr>
          <w:divsChild>
            <w:div w:id="2046904909">
              <w:marLeft w:val="0"/>
              <w:marRight w:val="0"/>
              <w:marTop w:val="0"/>
              <w:marBottom w:val="0"/>
              <w:divBdr>
                <w:top w:val="none" w:sz="0" w:space="0" w:color="auto"/>
                <w:left w:val="none" w:sz="0" w:space="0" w:color="auto"/>
                <w:bottom w:val="none" w:sz="0" w:space="0" w:color="auto"/>
                <w:right w:val="none" w:sz="0" w:space="0" w:color="auto"/>
              </w:divBdr>
              <w:divsChild>
                <w:div w:id="440995988">
                  <w:marLeft w:val="0"/>
                  <w:marRight w:val="0"/>
                  <w:marTop w:val="0"/>
                  <w:marBottom w:val="0"/>
                  <w:divBdr>
                    <w:top w:val="none" w:sz="0" w:space="0" w:color="auto"/>
                    <w:left w:val="none" w:sz="0" w:space="0" w:color="auto"/>
                    <w:bottom w:val="none" w:sz="0" w:space="0" w:color="auto"/>
                    <w:right w:val="none" w:sz="0" w:space="0" w:color="auto"/>
                  </w:divBdr>
                  <w:divsChild>
                    <w:div w:id="1820340335">
                      <w:marLeft w:val="0"/>
                      <w:marRight w:val="0"/>
                      <w:marTop w:val="0"/>
                      <w:marBottom w:val="0"/>
                      <w:divBdr>
                        <w:top w:val="none" w:sz="0" w:space="0" w:color="auto"/>
                        <w:left w:val="none" w:sz="0" w:space="0" w:color="auto"/>
                        <w:bottom w:val="none" w:sz="0" w:space="0" w:color="auto"/>
                        <w:right w:val="none" w:sz="0" w:space="0" w:color="auto"/>
                      </w:divBdr>
                      <w:divsChild>
                        <w:div w:id="1252354892">
                          <w:marLeft w:val="0"/>
                          <w:marRight w:val="0"/>
                          <w:marTop w:val="0"/>
                          <w:marBottom w:val="0"/>
                          <w:divBdr>
                            <w:top w:val="none" w:sz="0" w:space="0" w:color="auto"/>
                            <w:left w:val="none" w:sz="0" w:space="0" w:color="auto"/>
                            <w:bottom w:val="none" w:sz="0" w:space="0" w:color="auto"/>
                            <w:right w:val="none" w:sz="0" w:space="0" w:color="auto"/>
                          </w:divBdr>
                          <w:divsChild>
                            <w:div w:id="1102795541">
                              <w:marLeft w:val="0"/>
                              <w:marRight w:val="0"/>
                              <w:marTop w:val="0"/>
                              <w:marBottom w:val="0"/>
                              <w:divBdr>
                                <w:top w:val="none" w:sz="0" w:space="0" w:color="auto"/>
                                <w:left w:val="none" w:sz="0" w:space="0" w:color="auto"/>
                                <w:bottom w:val="none" w:sz="0" w:space="0" w:color="auto"/>
                                <w:right w:val="none" w:sz="0" w:space="0" w:color="auto"/>
                              </w:divBdr>
                            </w:div>
                            <w:div w:id="1630740532">
                              <w:marLeft w:val="0"/>
                              <w:marRight w:val="0"/>
                              <w:marTop w:val="0"/>
                              <w:marBottom w:val="0"/>
                              <w:divBdr>
                                <w:top w:val="none" w:sz="0" w:space="0" w:color="auto"/>
                                <w:left w:val="none" w:sz="0" w:space="0" w:color="auto"/>
                                <w:bottom w:val="none" w:sz="0" w:space="0" w:color="auto"/>
                                <w:right w:val="none" w:sz="0" w:space="0" w:color="auto"/>
                              </w:divBdr>
                            </w:div>
                            <w:div w:id="1355959573">
                              <w:marLeft w:val="0"/>
                              <w:marRight w:val="0"/>
                              <w:marTop w:val="75"/>
                              <w:marBottom w:val="0"/>
                              <w:divBdr>
                                <w:top w:val="none" w:sz="0" w:space="0" w:color="auto"/>
                                <w:left w:val="none" w:sz="0" w:space="0" w:color="auto"/>
                                <w:bottom w:val="none" w:sz="0" w:space="0" w:color="auto"/>
                                <w:right w:val="none" w:sz="0" w:space="0" w:color="auto"/>
                              </w:divBdr>
                              <w:divsChild>
                                <w:div w:id="142757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4250591">
      <w:bodyDiv w:val="1"/>
      <w:marLeft w:val="0"/>
      <w:marRight w:val="0"/>
      <w:marTop w:val="0"/>
      <w:marBottom w:val="0"/>
      <w:divBdr>
        <w:top w:val="none" w:sz="0" w:space="0" w:color="auto"/>
        <w:left w:val="none" w:sz="0" w:space="0" w:color="auto"/>
        <w:bottom w:val="none" w:sz="0" w:space="0" w:color="auto"/>
        <w:right w:val="none" w:sz="0" w:space="0" w:color="auto"/>
      </w:divBdr>
    </w:div>
    <w:div w:id="1257324178">
      <w:bodyDiv w:val="1"/>
      <w:marLeft w:val="0"/>
      <w:marRight w:val="0"/>
      <w:marTop w:val="0"/>
      <w:marBottom w:val="0"/>
      <w:divBdr>
        <w:top w:val="none" w:sz="0" w:space="0" w:color="auto"/>
        <w:left w:val="none" w:sz="0" w:space="0" w:color="auto"/>
        <w:bottom w:val="none" w:sz="0" w:space="0" w:color="auto"/>
        <w:right w:val="none" w:sz="0" w:space="0" w:color="auto"/>
      </w:divBdr>
    </w:div>
    <w:div w:id="1303119237">
      <w:bodyDiv w:val="1"/>
      <w:marLeft w:val="0"/>
      <w:marRight w:val="0"/>
      <w:marTop w:val="0"/>
      <w:marBottom w:val="0"/>
      <w:divBdr>
        <w:top w:val="none" w:sz="0" w:space="0" w:color="auto"/>
        <w:left w:val="none" w:sz="0" w:space="0" w:color="auto"/>
        <w:bottom w:val="none" w:sz="0" w:space="0" w:color="auto"/>
        <w:right w:val="none" w:sz="0" w:space="0" w:color="auto"/>
      </w:divBdr>
    </w:div>
    <w:div w:id="1347563602">
      <w:bodyDiv w:val="1"/>
      <w:marLeft w:val="0"/>
      <w:marRight w:val="0"/>
      <w:marTop w:val="0"/>
      <w:marBottom w:val="0"/>
      <w:divBdr>
        <w:top w:val="none" w:sz="0" w:space="0" w:color="auto"/>
        <w:left w:val="none" w:sz="0" w:space="0" w:color="auto"/>
        <w:bottom w:val="none" w:sz="0" w:space="0" w:color="auto"/>
        <w:right w:val="none" w:sz="0" w:space="0" w:color="auto"/>
      </w:divBdr>
    </w:div>
    <w:div w:id="1424567088">
      <w:bodyDiv w:val="1"/>
      <w:marLeft w:val="0"/>
      <w:marRight w:val="0"/>
      <w:marTop w:val="0"/>
      <w:marBottom w:val="0"/>
      <w:divBdr>
        <w:top w:val="none" w:sz="0" w:space="0" w:color="auto"/>
        <w:left w:val="none" w:sz="0" w:space="0" w:color="auto"/>
        <w:bottom w:val="none" w:sz="0" w:space="0" w:color="auto"/>
        <w:right w:val="none" w:sz="0" w:space="0" w:color="auto"/>
      </w:divBdr>
    </w:div>
    <w:div w:id="1442725923">
      <w:bodyDiv w:val="1"/>
      <w:marLeft w:val="0"/>
      <w:marRight w:val="0"/>
      <w:marTop w:val="0"/>
      <w:marBottom w:val="0"/>
      <w:divBdr>
        <w:top w:val="none" w:sz="0" w:space="0" w:color="auto"/>
        <w:left w:val="none" w:sz="0" w:space="0" w:color="auto"/>
        <w:bottom w:val="none" w:sz="0" w:space="0" w:color="auto"/>
        <w:right w:val="none" w:sz="0" w:space="0" w:color="auto"/>
      </w:divBdr>
    </w:div>
    <w:div w:id="1455758467">
      <w:bodyDiv w:val="1"/>
      <w:marLeft w:val="0"/>
      <w:marRight w:val="0"/>
      <w:marTop w:val="0"/>
      <w:marBottom w:val="0"/>
      <w:divBdr>
        <w:top w:val="none" w:sz="0" w:space="0" w:color="auto"/>
        <w:left w:val="none" w:sz="0" w:space="0" w:color="auto"/>
        <w:bottom w:val="none" w:sz="0" w:space="0" w:color="auto"/>
        <w:right w:val="none" w:sz="0" w:space="0" w:color="auto"/>
      </w:divBdr>
    </w:div>
    <w:div w:id="1493596141">
      <w:bodyDiv w:val="1"/>
      <w:marLeft w:val="0"/>
      <w:marRight w:val="0"/>
      <w:marTop w:val="0"/>
      <w:marBottom w:val="0"/>
      <w:divBdr>
        <w:top w:val="none" w:sz="0" w:space="0" w:color="auto"/>
        <w:left w:val="none" w:sz="0" w:space="0" w:color="auto"/>
        <w:bottom w:val="none" w:sz="0" w:space="0" w:color="auto"/>
        <w:right w:val="none" w:sz="0" w:space="0" w:color="auto"/>
      </w:divBdr>
      <w:divsChild>
        <w:div w:id="2067486805">
          <w:marLeft w:val="0"/>
          <w:marRight w:val="0"/>
          <w:marTop w:val="0"/>
          <w:marBottom w:val="0"/>
          <w:divBdr>
            <w:top w:val="none" w:sz="0" w:space="0" w:color="auto"/>
            <w:left w:val="none" w:sz="0" w:space="0" w:color="auto"/>
            <w:bottom w:val="none" w:sz="0" w:space="0" w:color="auto"/>
            <w:right w:val="none" w:sz="0" w:space="0" w:color="auto"/>
          </w:divBdr>
        </w:div>
      </w:divsChild>
    </w:div>
    <w:div w:id="1528329623">
      <w:bodyDiv w:val="1"/>
      <w:marLeft w:val="0"/>
      <w:marRight w:val="0"/>
      <w:marTop w:val="0"/>
      <w:marBottom w:val="0"/>
      <w:divBdr>
        <w:top w:val="none" w:sz="0" w:space="0" w:color="auto"/>
        <w:left w:val="none" w:sz="0" w:space="0" w:color="auto"/>
        <w:bottom w:val="none" w:sz="0" w:space="0" w:color="auto"/>
        <w:right w:val="none" w:sz="0" w:space="0" w:color="auto"/>
      </w:divBdr>
    </w:div>
    <w:div w:id="1576935835">
      <w:bodyDiv w:val="1"/>
      <w:marLeft w:val="0"/>
      <w:marRight w:val="0"/>
      <w:marTop w:val="0"/>
      <w:marBottom w:val="0"/>
      <w:divBdr>
        <w:top w:val="none" w:sz="0" w:space="0" w:color="auto"/>
        <w:left w:val="none" w:sz="0" w:space="0" w:color="auto"/>
        <w:bottom w:val="none" w:sz="0" w:space="0" w:color="auto"/>
        <w:right w:val="none" w:sz="0" w:space="0" w:color="auto"/>
      </w:divBdr>
    </w:div>
    <w:div w:id="1582638811">
      <w:bodyDiv w:val="1"/>
      <w:marLeft w:val="0"/>
      <w:marRight w:val="0"/>
      <w:marTop w:val="0"/>
      <w:marBottom w:val="0"/>
      <w:divBdr>
        <w:top w:val="none" w:sz="0" w:space="0" w:color="auto"/>
        <w:left w:val="none" w:sz="0" w:space="0" w:color="auto"/>
        <w:bottom w:val="none" w:sz="0" w:space="0" w:color="auto"/>
        <w:right w:val="none" w:sz="0" w:space="0" w:color="auto"/>
      </w:divBdr>
    </w:div>
    <w:div w:id="1607998638">
      <w:bodyDiv w:val="1"/>
      <w:marLeft w:val="0"/>
      <w:marRight w:val="0"/>
      <w:marTop w:val="0"/>
      <w:marBottom w:val="0"/>
      <w:divBdr>
        <w:top w:val="none" w:sz="0" w:space="0" w:color="auto"/>
        <w:left w:val="none" w:sz="0" w:space="0" w:color="auto"/>
        <w:bottom w:val="none" w:sz="0" w:space="0" w:color="auto"/>
        <w:right w:val="none" w:sz="0" w:space="0" w:color="auto"/>
      </w:divBdr>
    </w:div>
    <w:div w:id="1669869027">
      <w:bodyDiv w:val="1"/>
      <w:marLeft w:val="0"/>
      <w:marRight w:val="0"/>
      <w:marTop w:val="0"/>
      <w:marBottom w:val="0"/>
      <w:divBdr>
        <w:top w:val="none" w:sz="0" w:space="0" w:color="auto"/>
        <w:left w:val="none" w:sz="0" w:space="0" w:color="auto"/>
        <w:bottom w:val="none" w:sz="0" w:space="0" w:color="auto"/>
        <w:right w:val="none" w:sz="0" w:space="0" w:color="auto"/>
      </w:divBdr>
      <w:divsChild>
        <w:div w:id="1933972198">
          <w:marLeft w:val="0"/>
          <w:marRight w:val="0"/>
          <w:marTop w:val="0"/>
          <w:marBottom w:val="0"/>
          <w:divBdr>
            <w:top w:val="none" w:sz="0" w:space="0" w:color="auto"/>
            <w:left w:val="none" w:sz="0" w:space="0" w:color="auto"/>
            <w:bottom w:val="none" w:sz="0" w:space="0" w:color="auto"/>
            <w:right w:val="none" w:sz="0" w:space="0" w:color="auto"/>
          </w:divBdr>
        </w:div>
        <w:div w:id="319847337">
          <w:marLeft w:val="0"/>
          <w:marRight w:val="0"/>
          <w:marTop w:val="0"/>
          <w:marBottom w:val="0"/>
          <w:divBdr>
            <w:top w:val="none" w:sz="0" w:space="0" w:color="auto"/>
            <w:left w:val="none" w:sz="0" w:space="0" w:color="auto"/>
            <w:bottom w:val="none" w:sz="0" w:space="0" w:color="auto"/>
            <w:right w:val="none" w:sz="0" w:space="0" w:color="auto"/>
          </w:divBdr>
        </w:div>
        <w:div w:id="866410892">
          <w:marLeft w:val="0"/>
          <w:marRight w:val="0"/>
          <w:marTop w:val="0"/>
          <w:marBottom w:val="0"/>
          <w:divBdr>
            <w:top w:val="none" w:sz="0" w:space="0" w:color="auto"/>
            <w:left w:val="none" w:sz="0" w:space="0" w:color="auto"/>
            <w:bottom w:val="none" w:sz="0" w:space="0" w:color="auto"/>
            <w:right w:val="none" w:sz="0" w:space="0" w:color="auto"/>
          </w:divBdr>
        </w:div>
        <w:div w:id="1733262484">
          <w:marLeft w:val="0"/>
          <w:marRight w:val="0"/>
          <w:marTop w:val="0"/>
          <w:marBottom w:val="0"/>
          <w:divBdr>
            <w:top w:val="none" w:sz="0" w:space="0" w:color="auto"/>
            <w:left w:val="none" w:sz="0" w:space="0" w:color="auto"/>
            <w:bottom w:val="none" w:sz="0" w:space="0" w:color="auto"/>
            <w:right w:val="none" w:sz="0" w:space="0" w:color="auto"/>
          </w:divBdr>
        </w:div>
        <w:div w:id="1524858566">
          <w:marLeft w:val="0"/>
          <w:marRight w:val="0"/>
          <w:marTop w:val="0"/>
          <w:marBottom w:val="0"/>
          <w:divBdr>
            <w:top w:val="none" w:sz="0" w:space="0" w:color="auto"/>
            <w:left w:val="none" w:sz="0" w:space="0" w:color="auto"/>
            <w:bottom w:val="none" w:sz="0" w:space="0" w:color="auto"/>
            <w:right w:val="none" w:sz="0" w:space="0" w:color="auto"/>
          </w:divBdr>
        </w:div>
        <w:div w:id="381831649">
          <w:marLeft w:val="0"/>
          <w:marRight w:val="0"/>
          <w:marTop w:val="0"/>
          <w:marBottom w:val="0"/>
          <w:divBdr>
            <w:top w:val="none" w:sz="0" w:space="0" w:color="auto"/>
            <w:left w:val="none" w:sz="0" w:space="0" w:color="auto"/>
            <w:bottom w:val="none" w:sz="0" w:space="0" w:color="auto"/>
            <w:right w:val="none" w:sz="0" w:space="0" w:color="auto"/>
          </w:divBdr>
        </w:div>
        <w:div w:id="1284069171">
          <w:marLeft w:val="0"/>
          <w:marRight w:val="0"/>
          <w:marTop w:val="0"/>
          <w:marBottom w:val="0"/>
          <w:divBdr>
            <w:top w:val="none" w:sz="0" w:space="0" w:color="auto"/>
            <w:left w:val="none" w:sz="0" w:space="0" w:color="auto"/>
            <w:bottom w:val="none" w:sz="0" w:space="0" w:color="auto"/>
            <w:right w:val="none" w:sz="0" w:space="0" w:color="auto"/>
          </w:divBdr>
        </w:div>
      </w:divsChild>
    </w:div>
    <w:div w:id="1679651828">
      <w:bodyDiv w:val="1"/>
      <w:marLeft w:val="0"/>
      <w:marRight w:val="0"/>
      <w:marTop w:val="0"/>
      <w:marBottom w:val="0"/>
      <w:divBdr>
        <w:top w:val="none" w:sz="0" w:space="0" w:color="auto"/>
        <w:left w:val="none" w:sz="0" w:space="0" w:color="auto"/>
        <w:bottom w:val="none" w:sz="0" w:space="0" w:color="auto"/>
        <w:right w:val="none" w:sz="0" w:space="0" w:color="auto"/>
      </w:divBdr>
    </w:div>
    <w:div w:id="1695686437">
      <w:bodyDiv w:val="1"/>
      <w:marLeft w:val="0"/>
      <w:marRight w:val="0"/>
      <w:marTop w:val="0"/>
      <w:marBottom w:val="0"/>
      <w:divBdr>
        <w:top w:val="none" w:sz="0" w:space="0" w:color="auto"/>
        <w:left w:val="none" w:sz="0" w:space="0" w:color="auto"/>
        <w:bottom w:val="none" w:sz="0" w:space="0" w:color="auto"/>
        <w:right w:val="none" w:sz="0" w:space="0" w:color="auto"/>
      </w:divBdr>
    </w:div>
    <w:div w:id="1729575572">
      <w:bodyDiv w:val="1"/>
      <w:marLeft w:val="0"/>
      <w:marRight w:val="0"/>
      <w:marTop w:val="0"/>
      <w:marBottom w:val="0"/>
      <w:divBdr>
        <w:top w:val="none" w:sz="0" w:space="0" w:color="auto"/>
        <w:left w:val="none" w:sz="0" w:space="0" w:color="auto"/>
        <w:bottom w:val="none" w:sz="0" w:space="0" w:color="auto"/>
        <w:right w:val="none" w:sz="0" w:space="0" w:color="auto"/>
      </w:divBdr>
    </w:div>
    <w:div w:id="1739594229">
      <w:bodyDiv w:val="1"/>
      <w:marLeft w:val="0"/>
      <w:marRight w:val="0"/>
      <w:marTop w:val="0"/>
      <w:marBottom w:val="0"/>
      <w:divBdr>
        <w:top w:val="none" w:sz="0" w:space="0" w:color="auto"/>
        <w:left w:val="none" w:sz="0" w:space="0" w:color="auto"/>
        <w:bottom w:val="none" w:sz="0" w:space="0" w:color="auto"/>
        <w:right w:val="none" w:sz="0" w:space="0" w:color="auto"/>
      </w:divBdr>
    </w:div>
    <w:div w:id="1872183169">
      <w:bodyDiv w:val="1"/>
      <w:marLeft w:val="0"/>
      <w:marRight w:val="0"/>
      <w:marTop w:val="0"/>
      <w:marBottom w:val="0"/>
      <w:divBdr>
        <w:top w:val="none" w:sz="0" w:space="0" w:color="auto"/>
        <w:left w:val="none" w:sz="0" w:space="0" w:color="auto"/>
        <w:bottom w:val="none" w:sz="0" w:space="0" w:color="auto"/>
        <w:right w:val="none" w:sz="0" w:space="0" w:color="auto"/>
      </w:divBdr>
      <w:divsChild>
        <w:div w:id="1157040903">
          <w:marLeft w:val="0"/>
          <w:marRight w:val="0"/>
          <w:marTop w:val="0"/>
          <w:marBottom w:val="0"/>
          <w:divBdr>
            <w:top w:val="none" w:sz="0" w:space="0" w:color="auto"/>
            <w:left w:val="none" w:sz="0" w:space="0" w:color="auto"/>
            <w:bottom w:val="none" w:sz="0" w:space="0" w:color="auto"/>
            <w:right w:val="none" w:sz="0" w:space="0" w:color="auto"/>
          </w:divBdr>
        </w:div>
        <w:div w:id="534007389">
          <w:marLeft w:val="0"/>
          <w:marRight w:val="0"/>
          <w:marTop w:val="0"/>
          <w:marBottom w:val="0"/>
          <w:divBdr>
            <w:top w:val="none" w:sz="0" w:space="0" w:color="auto"/>
            <w:left w:val="none" w:sz="0" w:space="0" w:color="auto"/>
            <w:bottom w:val="none" w:sz="0" w:space="0" w:color="auto"/>
            <w:right w:val="none" w:sz="0" w:space="0" w:color="auto"/>
          </w:divBdr>
          <w:divsChild>
            <w:div w:id="509030686">
              <w:marLeft w:val="0"/>
              <w:marRight w:val="0"/>
              <w:marTop w:val="0"/>
              <w:marBottom w:val="0"/>
              <w:divBdr>
                <w:top w:val="none" w:sz="0" w:space="0" w:color="auto"/>
                <w:left w:val="none" w:sz="0" w:space="0" w:color="auto"/>
                <w:bottom w:val="none" w:sz="0" w:space="0" w:color="auto"/>
                <w:right w:val="none" w:sz="0" w:space="0" w:color="auto"/>
              </w:divBdr>
            </w:div>
            <w:div w:id="1508715204">
              <w:marLeft w:val="0"/>
              <w:marRight w:val="0"/>
              <w:marTop w:val="0"/>
              <w:marBottom w:val="0"/>
              <w:divBdr>
                <w:top w:val="none" w:sz="0" w:space="0" w:color="auto"/>
                <w:left w:val="none" w:sz="0" w:space="0" w:color="auto"/>
                <w:bottom w:val="none" w:sz="0" w:space="0" w:color="auto"/>
                <w:right w:val="none" w:sz="0" w:space="0" w:color="auto"/>
              </w:divBdr>
            </w:div>
            <w:div w:id="1090657791">
              <w:marLeft w:val="0"/>
              <w:marRight w:val="0"/>
              <w:marTop w:val="0"/>
              <w:marBottom w:val="0"/>
              <w:divBdr>
                <w:top w:val="none" w:sz="0" w:space="0" w:color="auto"/>
                <w:left w:val="none" w:sz="0" w:space="0" w:color="auto"/>
                <w:bottom w:val="none" w:sz="0" w:space="0" w:color="auto"/>
                <w:right w:val="none" w:sz="0" w:space="0" w:color="auto"/>
              </w:divBdr>
            </w:div>
            <w:div w:id="1644965067">
              <w:marLeft w:val="0"/>
              <w:marRight w:val="0"/>
              <w:marTop w:val="0"/>
              <w:marBottom w:val="0"/>
              <w:divBdr>
                <w:top w:val="none" w:sz="0" w:space="0" w:color="auto"/>
                <w:left w:val="none" w:sz="0" w:space="0" w:color="auto"/>
                <w:bottom w:val="none" w:sz="0" w:space="0" w:color="auto"/>
                <w:right w:val="none" w:sz="0" w:space="0" w:color="auto"/>
              </w:divBdr>
            </w:div>
            <w:div w:id="2120908361">
              <w:marLeft w:val="0"/>
              <w:marRight w:val="0"/>
              <w:marTop w:val="0"/>
              <w:marBottom w:val="0"/>
              <w:divBdr>
                <w:top w:val="none" w:sz="0" w:space="0" w:color="auto"/>
                <w:left w:val="none" w:sz="0" w:space="0" w:color="auto"/>
                <w:bottom w:val="none" w:sz="0" w:space="0" w:color="auto"/>
                <w:right w:val="none" w:sz="0" w:space="0" w:color="auto"/>
              </w:divBdr>
            </w:div>
            <w:div w:id="1553494005">
              <w:marLeft w:val="0"/>
              <w:marRight w:val="0"/>
              <w:marTop w:val="0"/>
              <w:marBottom w:val="0"/>
              <w:divBdr>
                <w:top w:val="none" w:sz="0" w:space="0" w:color="auto"/>
                <w:left w:val="none" w:sz="0" w:space="0" w:color="auto"/>
                <w:bottom w:val="none" w:sz="0" w:space="0" w:color="auto"/>
                <w:right w:val="none" w:sz="0" w:space="0" w:color="auto"/>
              </w:divBdr>
            </w:div>
            <w:div w:id="116138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304004">
      <w:bodyDiv w:val="1"/>
      <w:marLeft w:val="0"/>
      <w:marRight w:val="0"/>
      <w:marTop w:val="0"/>
      <w:marBottom w:val="0"/>
      <w:divBdr>
        <w:top w:val="none" w:sz="0" w:space="0" w:color="auto"/>
        <w:left w:val="none" w:sz="0" w:space="0" w:color="auto"/>
        <w:bottom w:val="none" w:sz="0" w:space="0" w:color="auto"/>
        <w:right w:val="none" w:sz="0" w:space="0" w:color="auto"/>
      </w:divBdr>
    </w:div>
    <w:div w:id="1942568484">
      <w:bodyDiv w:val="1"/>
      <w:marLeft w:val="0"/>
      <w:marRight w:val="0"/>
      <w:marTop w:val="0"/>
      <w:marBottom w:val="0"/>
      <w:divBdr>
        <w:top w:val="none" w:sz="0" w:space="0" w:color="auto"/>
        <w:left w:val="none" w:sz="0" w:space="0" w:color="auto"/>
        <w:bottom w:val="none" w:sz="0" w:space="0" w:color="auto"/>
        <w:right w:val="none" w:sz="0" w:space="0" w:color="auto"/>
      </w:divBdr>
    </w:div>
    <w:div w:id="1960528028">
      <w:bodyDiv w:val="1"/>
      <w:marLeft w:val="0"/>
      <w:marRight w:val="0"/>
      <w:marTop w:val="0"/>
      <w:marBottom w:val="0"/>
      <w:divBdr>
        <w:top w:val="none" w:sz="0" w:space="0" w:color="auto"/>
        <w:left w:val="none" w:sz="0" w:space="0" w:color="auto"/>
        <w:bottom w:val="none" w:sz="0" w:space="0" w:color="auto"/>
        <w:right w:val="none" w:sz="0" w:space="0" w:color="auto"/>
      </w:divBdr>
    </w:div>
    <w:div w:id="2008051891">
      <w:bodyDiv w:val="1"/>
      <w:marLeft w:val="0"/>
      <w:marRight w:val="0"/>
      <w:marTop w:val="0"/>
      <w:marBottom w:val="0"/>
      <w:divBdr>
        <w:top w:val="none" w:sz="0" w:space="0" w:color="auto"/>
        <w:left w:val="none" w:sz="0" w:space="0" w:color="auto"/>
        <w:bottom w:val="none" w:sz="0" w:space="0" w:color="auto"/>
        <w:right w:val="none" w:sz="0" w:space="0" w:color="auto"/>
      </w:divBdr>
    </w:div>
    <w:div w:id="2098482538">
      <w:bodyDiv w:val="1"/>
      <w:marLeft w:val="0"/>
      <w:marRight w:val="0"/>
      <w:marTop w:val="0"/>
      <w:marBottom w:val="0"/>
      <w:divBdr>
        <w:top w:val="none" w:sz="0" w:space="0" w:color="auto"/>
        <w:left w:val="none" w:sz="0" w:space="0" w:color="auto"/>
        <w:bottom w:val="none" w:sz="0" w:space="0" w:color="auto"/>
        <w:right w:val="none" w:sz="0" w:space="0" w:color="auto"/>
      </w:divBdr>
    </w:div>
    <w:div w:id="2111390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8</Pages>
  <Words>2801</Words>
  <Characters>15407</Characters>
  <Application>Microsoft Office Word</Application>
  <DocSecurity>0</DocSecurity>
  <Lines>128</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Jérôme Lasserre  Capdeville</dc:creator>
  <cp:keywords/>
  <dc:description/>
  <cp:lastModifiedBy>Jérôme Lasserre  Capdeville</cp:lastModifiedBy>
  <cp:revision>6</cp:revision>
  <cp:lastPrinted>2021-10-31T21:27:00Z</cp:lastPrinted>
  <dcterms:created xsi:type="dcterms:W3CDTF">2026-08-17T20:08:00Z</dcterms:created>
  <dcterms:modified xsi:type="dcterms:W3CDTF">2026-08-18T05:47:00Z</dcterms:modified>
</cp:coreProperties>
</file>