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859" w:rsidRPr="00D85DB1" w:rsidRDefault="001F259F" w:rsidP="00D85DB1">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Pr>
          <w:rFonts w:ascii="Arial" w:hAnsi="Arial" w:cs="Arial"/>
          <w:b/>
          <w:sz w:val="32"/>
          <w:szCs w:val="32"/>
        </w:rPr>
        <w:t>IDAI</w:t>
      </w:r>
    </w:p>
    <w:p w:rsidR="00D85DB1" w:rsidRPr="00D85DB1" w:rsidRDefault="00D85DB1" w:rsidP="00D85DB1">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D85DB1">
        <w:rPr>
          <w:rFonts w:ascii="Arial" w:hAnsi="Arial" w:cs="Arial"/>
          <w:b/>
          <w:sz w:val="32"/>
          <w:szCs w:val="32"/>
        </w:rPr>
        <w:t>DROIT BANCAIRE</w:t>
      </w:r>
    </w:p>
    <w:p w:rsidR="00D85DB1" w:rsidRDefault="00D85DB1"/>
    <w:p w:rsidR="00D85DB1" w:rsidRPr="00D85DB1" w:rsidRDefault="00D85DB1">
      <w:pPr>
        <w:rPr>
          <w:b/>
        </w:rPr>
      </w:pPr>
      <w:r w:rsidRPr="00D85DB1">
        <w:rPr>
          <w:b/>
        </w:rPr>
        <w:t xml:space="preserve">Cours de </w:t>
      </w:r>
      <w:r>
        <w:rPr>
          <w:b/>
        </w:rPr>
        <w:t xml:space="preserve">J. </w:t>
      </w:r>
      <w:r w:rsidRPr="00D85DB1">
        <w:rPr>
          <w:b/>
        </w:rPr>
        <w:t>LASSERRE CAPDEVILLE</w:t>
      </w:r>
    </w:p>
    <w:p w:rsidR="00D85DB1" w:rsidRDefault="00D85DB1"/>
    <w:p w:rsidR="00D85DB1" w:rsidRDefault="00D85DB1"/>
    <w:p w:rsidR="00D85DB1" w:rsidRDefault="00D85DB1"/>
    <w:p w:rsidR="00D15AB8" w:rsidRPr="00D85DB1" w:rsidRDefault="00D15AB8" w:rsidP="00D15AB8">
      <w:pPr>
        <w:jc w:val="center"/>
        <w:rPr>
          <w:rFonts w:ascii="Arial" w:hAnsi="Arial" w:cs="Arial"/>
          <w:b/>
          <w:sz w:val="32"/>
          <w:szCs w:val="32"/>
        </w:rPr>
      </w:pPr>
      <w:r w:rsidRPr="00D85DB1">
        <w:rPr>
          <w:rFonts w:ascii="Arial" w:hAnsi="Arial" w:cs="Arial"/>
          <w:b/>
          <w:sz w:val="32"/>
          <w:szCs w:val="32"/>
        </w:rPr>
        <w:t>TRAVAUX DIRIGÉS</w:t>
      </w:r>
    </w:p>
    <w:p w:rsidR="00D15AB8" w:rsidRDefault="00D15AB8" w:rsidP="00D15AB8">
      <w:pPr>
        <w:rPr>
          <w:b/>
        </w:rPr>
      </w:pPr>
    </w:p>
    <w:p w:rsidR="00D15AB8" w:rsidRPr="00D85DB1" w:rsidRDefault="00D15AB8" w:rsidP="00D15AB8">
      <w:pPr>
        <w:rPr>
          <w:b/>
        </w:rPr>
      </w:pPr>
    </w:p>
    <w:p w:rsidR="00D15AB8" w:rsidRPr="00D85DB1" w:rsidRDefault="00D15AB8" w:rsidP="00D15AB8">
      <w:pPr>
        <w:jc w:val="right"/>
        <w:rPr>
          <w:b/>
          <w:u w:val="single"/>
        </w:rPr>
      </w:pPr>
      <w:r w:rsidRPr="00D85DB1">
        <w:rPr>
          <w:b/>
          <w:u w:val="single"/>
        </w:rPr>
        <w:t>Équipe pédagogique :</w:t>
      </w:r>
    </w:p>
    <w:p w:rsidR="001F259F" w:rsidRDefault="001F259F" w:rsidP="001F259F">
      <w:pPr>
        <w:jc w:val="right"/>
        <w:rPr>
          <w:b/>
        </w:rPr>
      </w:pPr>
      <w:r>
        <w:rPr>
          <w:b/>
        </w:rPr>
        <w:t>E. DERCOURT</w:t>
      </w:r>
    </w:p>
    <w:p w:rsidR="00D15AB8" w:rsidRDefault="00D15AB8" w:rsidP="00D15AB8">
      <w:pPr>
        <w:jc w:val="right"/>
        <w:rPr>
          <w:b/>
        </w:rPr>
      </w:pPr>
    </w:p>
    <w:p w:rsidR="00D15AB8" w:rsidRPr="00FB59F4" w:rsidRDefault="00D15AB8" w:rsidP="00D15AB8">
      <w:pPr>
        <w:jc w:val="right"/>
        <w:rPr>
          <w:b/>
        </w:rPr>
      </w:pPr>
    </w:p>
    <w:p w:rsidR="00D15AB8" w:rsidRPr="00D85DB1" w:rsidRDefault="00D15AB8" w:rsidP="00D15AB8"/>
    <w:p w:rsidR="00F9685A" w:rsidRDefault="00F9685A" w:rsidP="00F9685A">
      <w:pPr>
        <w:rPr>
          <w:b/>
        </w:rPr>
      </w:pPr>
      <w:r w:rsidRPr="00D85DB1">
        <w:rPr>
          <w:b/>
        </w:rPr>
        <w:t xml:space="preserve">Séance n° </w:t>
      </w:r>
      <w:r w:rsidR="00F36760">
        <w:rPr>
          <w:b/>
        </w:rPr>
        <w:t>1</w:t>
      </w:r>
      <w:bookmarkStart w:id="0" w:name="_GoBack"/>
      <w:bookmarkEnd w:id="0"/>
    </w:p>
    <w:p w:rsidR="00F9685A" w:rsidRPr="00D85DB1" w:rsidRDefault="00F9685A" w:rsidP="00F9685A"/>
    <w:p w:rsidR="00F9685A" w:rsidRPr="00EF060B" w:rsidRDefault="00F9685A" w:rsidP="00F9685A">
      <w:r w:rsidRPr="00D85DB1">
        <w:rPr>
          <w:b/>
        </w:rPr>
        <w:t>Thème :</w:t>
      </w:r>
      <w:r w:rsidRPr="00D85DB1">
        <w:t xml:space="preserve"> </w:t>
      </w:r>
      <w:r w:rsidRPr="00EF060B">
        <w:t>Les devoirs généraux pesant sur les établissements de crédit</w:t>
      </w:r>
    </w:p>
    <w:p w:rsidR="00F9685A" w:rsidRDefault="00F9685A" w:rsidP="00F9685A"/>
    <w:p w:rsidR="00F9685A" w:rsidRPr="00826422" w:rsidRDefault="00F9685A" w:rsidP="00F9685A"/>
    <w:p w:rsidR="00F9685A" w:rsidRPr="00D85DB1" w:rsidRDefault="00F9685A" w:rsidP="00F9685A"/>
    <w:p w:rsidR="00F9685A" w:rsidRPr="00E929EE" w:rsidRDefault="00F9685A" w:rsidP="00F9685A"/>
    <w:p w:rsidR="00F9685A" w:rsidRPr="00E929EE" w:rsidRDefault="00F9685A" w:rsidP="00F9685A">
      <w:r>
        <w:rPr>
          <w:b/>
          <w:u w:val="single"/>
        </w:rPr>
        <w:t>Arrêt à commenter</w:t>
      </w:r>
    </w:p>
    <w:p w:rsidR="00F9685A" w:rsidRPr="00E929EE" w:rsidRDefault="00F9685A" w:rsidP="00F9685A"/>
    <w:p w:rsidR="00F9685A" w:rsidRDefault="008D3BF9" w:rsidP="00F9685A">
      <w:pPr>
        <w:rPr>
          <w:b/>
          <w:u w:val="single"/>
        </w:rPr>
      </w:pPr>
      <w:proofErr w:type="spellStart"/>
      <w:r w:rsidRPr="00E91FBF">
        <w:rPr>
          <w:color w:val="000000" w:themeColor="text1"/>
        </w:rPr>
        <w:t>Cass</w:t>
      </w:r>
      <w:proofErr w:type="spellEnd"/>
      <w:r w:rsidRPr="00E91FBF">
        <w:rPr>
          <w:color w:val="000000" w:themeColor="text1"/>
        </w:rPr>
        <w:t>. c</w:t>
      </w:r>
      <w:r>
        <w:rPr>
          <w:color w:val="000000" w:themeColor="text1"/>
        </w:rPr>
        <w:t>om., 2 octobre 2024, n° 23-13.282</w:t>
      </w:r>
    </w:p>
    <w:p w:rsidR="008D3BF9" w:rsidRDefault="008D3BF9" w:rsidP="00F9685A">
      <w:pPr>
        <w:rPr>
          <w:b/>
          <w:u w:val="single"/>
        </w:rPr>
      </w:pPr>
    </w:p>
    <w:p w:rsidR="00F36760" w:rsidRDefault="00F36760" w:rsidP="00F9685A">
      <w:pPr>
        <w:rPr>
          <w:highlight w:val="yellow"/>
        </w:rPr>
      </w:pPr>
    </w:p>
    <w:p w:rsidR="00F36760" w:rsidRDefault="00F36760" w:rsidP="00F9685A">
      <w:pPr>
        <w:rPr>
          <w:highlight w:val="yellow"/>
        </w:rPr>
      </w:pPr>
    </w:p>
    <w:p w:rsidR="00F9685A" w:rsidRPr="00E929EE" w:rsidRDefault="00F9685A" w:rsidP="00F9685A">
      <w:pPr>
        <w:rPr>
          <w:b/>
          <w:u w:val="single"/>
        </w:rPr>
      </w:pPr>
      <w:r w:rsidRPr="00E929EE">
        <w:rPr>
          <w:b/>
          <w:u w:val="single"/>
        </w:rPr>
        <w:t>Fiches d’arrêts à préparer (penser à dégager une problématique)</w:t>
      </w:r>
    </w:p>
    <w:p w:rsidR="00F9685A" w:rsidRDefault="00F9685A" w:rsidP="00F9685A"/>
    <w:p w:rsidR="00F9685A" w:rsidRDefault="00F9685A" w:rsidP="00F9685A">
      <w:r>
        <w:t>-Devoir de non-ingérence</w:t>
      </w:r>
    </w:p>
    <w:p w:rsidR="00F9685A" w:rsidRDefault="00F9685A" w:rsidP="00F9685A">
      <w:pPr>
        <w:rPr>
          <w:rFonts w:ascii="TimesNewRomanPSMT" w:hAnsi="TimesNewRomanPSMT" w:cs="TimesNewRomanPSMT"/>
        </w:rPr>
      </w:pPr>
    </w:p>
    <w:p w:rsidR="00976CC9" w:rsidRPr="00E929EE" w:rsidRDefault="00976CC9" w:rsidP="00976CC9">
      <w:pPr>
        <w:rPr>
          <w:b/>
          <w:u w:val="single"/>
        </w:rPr>
      </w:pPr>
      <w:proofErr w:type="spellStart"/>
      <w:r>
        <w:t>Cass</w:t>
      </w:r>
      <w:proofErr w:type="spellEnd"/>
      <w:r>
        <w:t>. com., 21 septembre 2022, n° 21-12.335</w:t>
      </w:r>
    </w:p>
    <w:p w:rsidR="00F9685A" w:rsidRDefault="00F9685A" w:rsidP="00F9685A"/>
    <w:p w:rsidR="00F9685A" w:rsidRDefault="00F9685A" w:rsidP="00F9685A">
      <w:r>
        <w:t>-Obligation du secret bancaire</w:t>
      </w:r>
    </w:p>
    <w:p w:rsidR="00366F3D" w:rsidRDefault="00366F3D" w:rsidP="00366F3D"/>
    <w:p w:rsidR="00366F3D" w:rsidRDefault="00366F3D" w:rsidP="00366F3D">
      <w:proofErr w:type="spellStart"/>
      <w:r>
        <w:t>Cass</w:t>
      </w:r>
      <w:proofErr w:type="spellEnd"/>
      <w:r>
        <w:t>. com., 15 mai 2019, n° 18-10.491</w:t>
      </w:r>
    </w:p>
    <w:p w:rsidR="00366F3D" w:rsidRDefault="00366F3D" w:rsidP="00366F3D"/>
    <w:p w:rsidR="00F9685A" w:rsidRDefault="00F9685A" w:rsidP="00F9685A">
      <w:r>
        <w:t>-Lutte contre le blanchiment d’argent et le financement du terrorisme</w:t>
      </w:r>
    </w:p>
    <w:p w:rsidR="00F9685A" w:rsidRDefault="00F9685A" w:rsidP="00F9685A"/>
    <w:p w:rsidR="00F9685A" w:rsidRDefault="00F9685A" w:rsidP="00F9685A">
      <w:proofErr w:type="spellStart"/>
      <w:r>
        <w:t>Cass</w:t>
      </w:r>
      <w:proofErr w:type="spellEnd"/>
      <w:r>
        <w:t xml:space="preserve">. </w:t>
      </w:r>
      <w:proofErr w:type="spellStart"/>
      <w:proofErr w:type="gramStart"/>
      <w:r>
        <w:t>c</w:t>
      </w:r>
      <w:r w:rsidR="008D3BF9">
        <w:t>rim</w:t>
      </w:r>
      <w:proofErr w:type="spellEnd"/>
      <w:proofErr w:type="gramEnd"/>
      <w:r w:rsidR="008D3BF9">
        <w:t>., 19 juin 2024, n° 22-81.808</w:t>
      </w:r>
    </w:p>
    <w:p w:rsidR="00366F3D" w:rsidRDefault="00366F3D">
      <w:pPr>
        <w:jc w:val="both"/>
        <w:rPr>
          <w:highlight w:val="yellow"/>
        </w:rPr>
      </w:pPr>
    </w:p>
    <w:p w:rsidR="00F36760" w:rsidRDefault="00F36760">
      <w:pPr>
        <w:jc w:val="both"/>
      </w:pPr>
    </w:p>
    <w:p w:rsidR="00F36760" w:rsidRDefault="00F36760">
      <w:pPr>
        <w:jc w:val="both"/>
      </w:pPr>
    </w:p>
    <w:p w:rsidR="00F36760" w:rsidRDefault="00F36760">
      <w:pPr>
        <w:jc w:val="both"/>
      </w:pPr>
    </w:p>
    <w:p w:rsidR="00F36760" w:rsidRDefault="00F36760">
      <w:pPr>
        <w:jc w:val="both"/>
      </w:pPr>
    </w:p>
    <w:p w:rsidR="00F36760" w:rsidRDefault="00F36760">
      <w:pPr>
        <w:jc w:val="both"/>
      </w:pPr>
    </w:p>
    <w:p w:rsidR="00F36760" w:rsidRDefault="00F36760">
      <w:pPr>
        <w:jc w:val="both"/>
      </w:pPr>
    </w:p>
    <w:p w:rsidR="00F36760" w:rsidRDefault="00F36760">
      <w:pPr>
        <w:jc w:val="both"/>
      </w:pPr>
    </w:p>
    <w:p w:rsidR="006453BF" w:rsidRPr="00E929EE" w:rsidRDefault="006453BF" w:rsidP="006453BF">
      <w:r>
        <w:rPr>
          <w:b/>
          <w:u w:val="single"/>
        </w:rPr>
        <w:lastRenderedPageBreak/>
        <w:t>Arrêt à commenter</w:t>
      </w:r>
    </w:p>
    <w:p w:rsidR="006453BF" w:rsidRPr="00E929EE" w:rsidRDefault="006453BF" w:rsidP="006453BF"/>
    <w:p w:rsidR="006453BF" w:rsidRPr="006453BF" w:rsidRDefault="006453BF" w:rsidP="006453BF">
      <w:pPr>
        <w:rPr>
          <w:b/>
          <w:u w:val="single"/>
        </w:rPr>
      </w:pPr>
      <w:proofErr w:type="spellStart"/>
      <w:r w:rsidRPr="006453BF">
        <w:rPr>
          <w:b/>
          <w:color w:val="000000" w:themeColor="text1"/>
        </w:rPr>
        <w:t>Cass</w:t>
      </w:r>
      <w:proofErr w:type="spellEnd"/>
      <w:r w:rsidRPr="006453BF">
        <w:rPr>
          <w:b/>
          <w:color w:val="000000" w:themeColor="text1"/>
        </w:rPr>
        <w:t>. com., 2 octobre 2024, n° 23-13.282</w:t>
      </w:r>
    </w:p>
    <w:p w:rsidR="006453BF" w:rsidRPr="006453BF" w:rsidRDefault="006453BF" w:rsidP="006453BF">
      <w:pPr>
        <w:jc w:val="both"/>
        <w:rPr>
          <w:color w:val="000000" w:themeColor="text1"/>
        </w:rPr>
      </w:pPr>
    </w:p>
    <w:p w:rsidR="006453BF" w:rsidRDefault="006453BF" w:rsidP="006453BF">
      <w:pPr>
        <w:jc w:val="both"/>
        <w:rPr>
          <w:color w:val="212529"/>
        </w:rPr>
      </w:pPr>
      <w:r w:rsidRPr="006453BF">
        <w:rPr>
          <w:color w:val="212529"/>
        </w:rPr>
        <w:t>Faits et procédure </w:t>
      </w:r>
    </w:p>
    <w:p w:rsidR="006453BF" w:rsidRDefault="006453BF" w:rsidP="006453BF">
      <w:pPr>
        <w:jc w:val="both"/>
        <w:rPr>
          <w:color w:val="212529"/>
        </w:rPr>
      </w:pPr>
    </w:p>
    <w:p w:rsidR="006453BF" w:rsidRDefault="006453BF" w:rsidP="006453BF">
      <w:pPr>
        <w:jc w:val="both"/>
        <w:rPr>
          <w:color w:val="212529"/>
        </w:rPr>
      </w:pPr>
      <w:r w:rsidRPr="006453BF">
        <w:rPr>
          <w:color w:val="212529"/>
        </w:rPr>
        <w:t>1. Selon l'arrêt attaqué (Douai, 12 janvier 2023), entre le 11 et le 22 décembre 2017, la comptable de la société Le Cerf &amp; Bachelet (la société) a adressé à la société banque CIC Nord-Ouest (la banque) sept ordres de virement d'un montant total de 2 121 903,81 euros au profit du compte d'une société située à Hong-Kong.</w:t>
      </w:r>
    </w:p>
    <w:p w:rsidR="006453BF" w:rsidRDefault="006453BF" w:rsidP="006453BF">
      <w:pPr>
        <w:jc w:val="both"/>
        <w:rPr>
          <w:color w:val="212529"/>
        </w:rPr>
      </w:pPr>
    </w:p>
    <w:p w:rsidR="006453BF" w:rsidRDefault="006453BF" w:rsidP="006453BF">
      <w:pPr>
        <w:jc w:val="both"/>
        <w:rPr>
          <w:color w:val="212529"/>
        </w:rPr>
      </w:pPr>
      <w:r w:rsidRPr="006453BF">
        <w:rPr>
          <w:color w:val="212529"/>
        </w:rPr>
        <w:t>2. Le 17 novembre 2020, affirmant que sa salariée avait agi en exécution de courriels adressés par un tiers usurpant l'identité de son dirigeant, la société a assigné la banque pour obtenir la restitution des sommes versées.</w:t>
      </w:r>
    </w:p>
    <w:p w:rsidR="006453BF" w:rsidRDefault="006453BF" w:rsidP="006453BF">
      <w:pPr>
        <w:jc w:val="both"/>
        <w:rPr>
          <w:color w:val="212529"/>
        </w:rPr>
      </w:pPr>
    </w:p>
    <w:p w:rsidR="006453BF" w:rsidRDefault="006453BF" w:rsidP="006453BF">
      <w:pPr>
        <w:jc w:val="both"/>
        <w:rPr>
          <w:color w:val="212529"/>
        </w:rPr>
      </w:pPr>
      <w:r w:rsidRPr="006453BF">
        <w:rPr>
          <w:color w:val="212529"/>
        </w:rPr>
        <w:t>Sur le deuxième moyen pris en ses trois premières branches</w:t>
      </w:r>
    </w:p>
    <w:p w:rsidR="006453BF" w:rsidRDefault="006453BF" w:rsidP="006453BF">
      <w:pPr>
        <w:jc w:val="both"/>
        <w:rPr>
          <w:color w:val="212529"/>
        </w:rPr>
      </w:pPr>
    </w:p>
    <w:p w:rsidR="006453BF" w:rsidRDefault="006453BF" w:rsidP="006453BF">
      <w:pPr>
        <w:jc w:val="both"/>
        <w:rPr>
          <w:color w:val="212529"/>
        </w:rPr>
      </w:pPr>
      <w:proofErr w:type="spellStart"/>
      <w:r w:rsidRPr="006453BF">
        <w:rPr>
          <w:color w:val="212529"/>
        </w:rPr>
        <w:t>Enoncé</w:t>
      </w:r>
      <w:proofErr w:type="spellEnd"/>
      <w:r w:rsidRPr="006453BF">
        <w:rPr>
          <w:color w:val="212529"/>
        </w:rPr>
        <w:t xml:space="preserve"> du moyen</w:t>
      </w:r>
    </w:p>
    <w:p w:rsidR="006453BF" w:rsidRDefault="006453BF" w:rsidP="006453BF">
      <w:pPr>
        <w:jc w:val="both"/>
        <w:rPr>
          <w:color w:val="212529"/>
        </w:rPr>
      </w:pPr>
    </w:p>
    <w:p w:rsidR="006453BF" w:rsidRDefault="006453BF" w:rsidP="006453BF">
      <w:pPr>
        <w:jc w:val="both"/>
        <w:rPr>
          <w:color w:val="212529"/>
        </w:rPr>
      </w:pPr>
      <w:r w:rsidRPr="006453BF">
        <w:rPr>
          <w:color w:val="212529"/>
        </w:rPr>
        <w:t>4. La banque fait grief à la décision attaquée de la condamner à payer à la société la somme de 1 060 951,90 euros en réparation de son préjudice alors :</w:t>
      </w:r>
    </w:p>
    <w:p w:rsidR="006453BF" w:rsidRDefault="006453BF" w:rsidP="006453BF">
      <w:pPr>
        <w:jc w:val="both"/>
        <w:rPr>
          <w:color w:val="212529"/>
        </w:rPr>
      </w:pPr>
    </w:p>
    <w:p w:rsidR="006453BF" w:rsidRDefault="006453BF" w:rsidP="006453BF">
      <w:pPr>
        <w:jc w:val="both"/>
        <w:rPr>
          <w:color w:val="212529"/>
        </w:rPr>
      </w:pPr>
      <w:r w:rsidRPr="006453BF">
        <w:rPr>
          <w:color w:val="212529"/>
        </w:rPr>
        <w:t xml:space="preserve">« 1°/ que le banquier est tenu d'une obligation de non-ingérence dans les affaires de son client ; que le devoir de vigilance lui impose seulement de déceler les anomalies apparentes de l'opération de paiement qu'il lui est demandé d'exécuter, ce qui implique qu'il se borne à un contrôle prima </w:t>
      </w:r>
      <w:proofErr w:type="spellStart"/>
      <w:r w:rsidRPr="006453BF">
        <w:rPr>
          <w:color w:val="212529"/>
        </w:rPr>
        <w:t>facie</w:t>
      </w:r>
      <w:proofErr w:type="spellEnd"/>
      <w:r w:rsidRPr="006453BF">
        <w:rPr>
          <w:color w:val="212529"/>
        </w:rPr>
        <w:t xml:space="preserve"> et non à une étude approfondie des habitudes du compte de son client ; que la cour d'appel a toutefois considéré que la société démontrait, en produisant ses relevés de compte entre janvier 2014 et novembre 2017 "ainsi que des tableaux analytiques qu'elle a réalisés des virements qu'elle effectuait " qu'en dehors des virements adressés à la société </w:t>
      </w:r>
      <w:proofErr w:type="spellStart"/>
      <w:r w:rsidRPr="006453BF">
        <w:rPr>
          <w:color w:val="212529"/>
        </w:rPr>
        <w:t>Dubocage</w:t>
      </w:r>
      <w:proofErr w:type="spellEnd"/>
      <w:r w:rsidRPr="006453BF">
        <w:rPr>
          <w:color w:val="212529"/>
        </w:rPr>
        <w:t>, sa société-mère, elle n'effectuait "quasiment aucun virement supérieur à 100 000 euros", et qu'elle n'effectuait pas de virements vers des sociétés basées en Chine, et que les ordres de virement litigieux, "par leur caractère rapproché et répété, la période de l'année au cours de laquelle ils intervenaient, leurs montants élevés par rapport aux ordres habituellement donnés et le fait qu'ils étaient établis au bénéfice de deux sociétés ne faisant pas partie des relations d'affaires de la société Le Cerf &amp; Bachelet et situées dans un espace géographique avec lequel la société Le Cerf &amp; Bachelet n'avait pas pour habitude de travailler" auraient dû amener la banque à surseoir à leur exécution et à se renseigner sur leur validité ; qu'en statuant ainsi, par des énonciations impliquant une analyse approfondie des habitudes du compte de la société, la cour d'appel, qui s'est déterminée par des motifs impropres à caractériser une anomalie apparente, a violé l'article 1147, devenu 1231-1, du code civil ; </w:t>
      </w:r>
    </w:p>
    <w:p w:rsidR="006453BF" w:rsidRDefault="006453BF" w:rsidP="006453BF">
      <w:pPr>
        <w:jc w:val="both"/>
        <w:rPr>
          <w:color w:val="212529"/>
        </w:rPr>
      </w:pPr>
    </w:p>
    <w:p w:rsidR="006453BF" w:rsidRDefault="00311170" w:rsidP="006453BF">
      <w:pPr>
        <w:jc w:val="both"/>
        <w:rPr>
          <w:color w:val="212529"/>
        </w:rPr>
      </w:pPr>
      <w:r>
        <w:rPr>
          <w:color w:val="212529"/>
        </w:rPr>
        <w:t>(…)</w:t>
      </w:r>
    </w:p>
    <w:p w:rsidR="006453BF" w:rsidRDefault="006453BF" w:rsidP="006453BF">
      <w:pPr>
        <w:jc w:val="both"/>
        <w:rPr>
          <w:color w:val="212529"/>
        </w:rPr>
      </w:pPr>
    </w:p>
    <w:p w:rsidR="00311170" w:rsidRDefault="006453BF" w:rsidP="006453BF">
      <w:pPr>
        <w:jc w:val="both"/>
        <w:rPr>
          <w:color w:val="212529"/>
        </w:rPr>
      </w:pPr>
      <w:r w:rsidRPr="006453BF">
        <w:rPr>
          <w:color w:val="212529"/>
        </w:rPr>
        <w:t>Motivatio</w:t>
      </w:r>
      <w:r w:rsidR="00311170">
        <w:rPr>
          <w:color w:val="212529"/>
        </w:rPr>
        <w:t>n</w:t>
      </w:r>
    </w:p>
    <w:p w:rsidR="00311170" w:rsidRDefault="006453BF" w:rsidP="006453BF">
      <w:pPr>
        <w:jc w:val="both"/>
        <w:rPr>
          <w:color w:val="212529"/>
        </w:rPr>
      </w:pPr>
      <w:r w:rsidRPr="006453BF">
        <w:rPr>
          <w:color w:val="212529"/>
        </w:rPr>
        <w:t>Réponse de la Cour </w:t>
      </w:r>
    </w:p>
    <w:p w:rsidR="00311170" w:rsidRDefault="00311170" w:rsidP="006453BF">
      <w:pPr>
        <w:jc w:val="both"/>
        <w:rPr>
          <w:color w:val="212529"/>
        </w:rPr>
      </w:pPr>
    </w:p>
    <w:p w:rsidR="00311170" w:rsidRDefault="006453BF" w:rsidP="006453BF">
      <w:pPr>
        <w:jc w:val="both"/>
        <w:rPr>
          <w:color w:val="212529"/>
        </w:rPr>
      </w:pPr>
      <w:r w:rsidRPr="006453BF">
        <w:rPr>
          <w:color w:val="212529"/>
        </w:rPr>
        <w:t xml:space="preserve">5. Après avoir constaté que la société établissait n'avoir effectué presqu'aucun virement supérieur à 100 000 euros et ne pas effectuer de virements vers des sociétés situées en Chine, l'arrêt retient que les ordres de virement litigieux, par leur caractère rapproché et répété, par la période de l'année à laquelle ils intervenaient, leurs montants élevés par rapport aux ordres </w:t>
      </w:r>
      <w:r w:rsidRPr="006453BF">
        <w:rPr>
          <w:color w:val="212529"/>
        </w:rPr>
        <w:lastRenderedPageBreak/>
        <w:t>habituellement donnés et par le fait qu'ils étaient établis au bénéfice de sociétés ne faisant pas partie des relations d'affaires de la société et situées en dehors de l'espace habituel de son activité, auraient dû conduire la banque à se renseigner sur leur validité directement auprès du dirigeant supposé.</w:t>
      </w:r>
    </w:p>
    <w:p w:rsidR="00311170" w:rsidRDefault="00311170" w:rsidP="006453BF">
      <w:pPr>
        <w:jc w:val="both"/>
        <w:rPr>
          <w:color w:val="212529"/>
        </w:rPr>
      </w:pPr>
    </w:p>
    <w:p w:rsidR="00311170" w:rsidRDefault="006453BF" w:rsidP="006453BF">
      <w:pPr>
        <w:jc w:val="both"/>
        <w:rPr>
          <w:color w:val="212529"/>
        </w:rPr>
      </w:pPr>
      <w:r w:rsidRPr="006453BF">
        <w:rPr>
          <w:color w:val="212529"/>
        </w:rPr>
        <w:t>6. En l'état de ces constatations et appréciations, faisant ressortir l'existence d'anomalies apparentes affectant les ordres de paiement, la cour d'appel a exactement retenu que la banque était tenue d'alerter la société afin d'obtenir la confirmation des ordres litigieux en exécution de son obligation de vigilance.</w:t>
      </w:r>
    </w:p>
    <w:p w:rsidR="00311170" w:rsidRDefault="00311170" w:rsidP="006453BF">
      <w:pPr>
        <w:jc w:val="both"/>
        <w:rPr>
          <w:color w:val="212529"/>
        </w:rPr>
      </w:pPr>
    </w:p>
    <w:p w:rsidR="00311170" w:rsidRDefault="006453BF" w:rsidP="00311170">
      <w:pPr>
        <w:jc w:val="both"/>
        <w:rPr>
          <w:color w:val="212529"/>
        </w:rPr>
      </w:pPr>
      <w:r w:rsidRPr="006453BF">
        <w:rPr>
          <w:color w:val="212529"/>
        </w:rPr>
        <w:t>7. Le moyen n'est pas fondé.</w:t>
      </w:r>
    </w:p>
    <w:p w:rsidR="00311170" w:rsidRDefault="00311170" w:rsidP="00311170">
      <w:pPr>
        <w:jc w:val="both"/>
        <w:rPr>
          <w:color w:val="212529"/>
        </w:rPr>
      </w:pPr>
    </w:p>
    <w:p w:rsidR="006453BF" w:rsidRPr="006453BF" w:rsidRDefault="006453BF" w:rsidP="00311170">
      <w:pPr>
        <w:jc w:val="both"/>
        <w:rPr>
          <w:color w:val="212529"/>
        </w:rPr>
      </w:pPr>
      <w:r w:rsidRPr="006453BF">
        <w:rPr>
          <w:color w:val="212529"/>
        </w:rPr>
        <w:t>Moyens</w:t>
      </w:r>
    </w:p>
    <w:p w:rsidR="00311170" w:rsidRDefault="006453BF" w:rsidP="006453BF">
      <w:pPr>
        <w:jc w:val="both"/>
        <w:rPr>
          <w:color w:val="212529"/>
        </w:rPr>
      </w:pPr>
      <w:r w:rsidRPr="006453BF">
        <w:rPr>
          <w:color w:val="212529"/>
        </w:rPr>
        <w:t xml:space="preserve">Sur le troisième moyen, pris en ses première et </w:t>
      </w:r>
      <w:proofErr w:type="gramStart"/>
      <w:r w:rsidRPr="006453BF">
        <w:rPr>
          <w:color w:val="212529"/>
        </w:rPr>
        <w:t>deuxième branches</w:t>
      </w:r>
      <w:proofErr w:type="gramEnd"/>
    </w:p>
    <w:p w:rsidR="00311170" w:rsidRDefault="00311170" w:rsidP="006453BF">
      <w:pPr>
        <w:jc w:val="both"/>
        <w:rPr>
          <w:color w:val="212529"/>
        </w:rPr>
      </w:pPr>
    </w:p>
    <w:p w:rsidR="00311170" w:rsidRDefault="006453BF" w:rsidP="006453BF">
      <w:pPr>
        <w:jc w:val="both"/>
        <w:rPr>
          <w:color w:val="212529"/>
        </w:rPr>
      </w:pPr>
      <w:proofErr w:type="spellStart"/>
      <w:r w:rsidRPr="006453BF">
        <w:rPr>
          <w:color w:val="212529"/>
        </w:rPr>
        <w:t>Enoncé</w:t>
      </w:r>
      <w:proofErr w:type="spellEnd"/>
      <w:r w:rsidRPr="006453BF">
        <w:rPr>
          <w:color w:val="212529"/>
        </w:rPr>
        <w:t xml:space="preserve"> du moyen </w:t>
      </w:r>
    </w:p>
    <w:p w:rsidR="00311170" w:rsidRDefault="00311170" w:rsidP="006453BF">
      <w:pPr>
        <w:jc w:val="both"/>
        <w:rPr>
          <w:color w:val="212529"/>
        </w:rPr>
      </w:pPr>
    </w:p>
    <w:p w:rsidR="00311170" w:rsidRDefault="006453BF" w:rsidP="006453BF">
      <w:pPr>
        <w:jc w:val="both"/>
        <w:rPr>
          <w:color w:val="212529"/>
        </w:rPr>
      </w:pPr>
      <w:r w:rsidRPr="006453BF">
        <w:rPr>
          <w:color w:val="212529"/>
        </w:rPr>
        <w:t>8. La banque fait grief à la décision attaquée de la condamner à payer à la société la somme de 1 060 951,90 euros en réparation de son préjudice alors :</w:t>
      </w:r>
    </w:p>
    <w:p w:rsidR="00311170" w:rsidRDefault="00311170" w:rsidP="006453BF">
      <w:pPr>
        <w:jc w:val="both"/>
        <w:rPr>
          <w:color w:val="212529"/>
        </w:rPr>
      </w:pPr>
    </w:p>
    <w:p w:rsidR="00311170" w:rsidRDefault="006453BF" w:rsidP="006453BF">
      <w:pPr>
        <w:jc w:val="both"/>
        <w:rPr>
          <w:color w:val="212529"/>
        </w:rPr>
      </w:pPr>
      <w:r w:rsidRPr="006453BF">
        <w:rPr>
          <w:color w:val="212529"/>
        </w:rPr>
        <w:t>« 1°/ qu'en présence d'une anomalie apparente, le devoir de vigilance n'impose au banquier que de vérifier si l'anomalie n'est qu'apparente, ou au contraire, si elle est réelle ; que la banque n'a pas, dans un tel cas, à obtenir un nouvel ordre de paiement ; qu'en retenant que les ordres de virement litigieux auraient dû amener la banque à surseoir à leur exécution et à se renseigner sur leur validité "directement auprès du signataire" eu égard au caractère douteux de ces opérations révélant une possible "fraude au président" dont le mécanisme est bien connu des banques, que la banque s'était "contentée d'appeler Mme [Y]" ce qui "ne pouvait être suffisant", celle-ci n'étant "pas la détentrice du pouvoir de valider les virements", et qu'il appartenait à la banque, dans cette situation, "de contacter non simplement la comptable de la société mais bien son dirigeant, quand bien même une telle vérification n'était pas contractuellement prévue ", la cour d'appel a violé l'article 1147, devenu 1231-1, du code civil ; </w:t>
      </w:r>
    </w:p>
    <w:p w:rsidR="00311170" w:rsidRDefault="00311170" w:rsidP="006453BF">
      <w:pPr>
        <w:jc w:val="both"/>
        <w:rPr>
          <w:color w:val="212529"/>
        </w:rPr>
      </w:pPr>
    </w:p>
    <w:p w:rsidR="00311170" w:rsidRDefault="00311170" w:rsidP="006453BF">
      <w:pPr>
        <w:jc w:val="both"/>
        <w:rPr>
          <w:color w:val="212529"/>
        </w:rPr>
      </w:pPr>
      <w:r>
        <w:rPr>
          <w:color w:val="212529"/>
        </w:rPr>
        <w:t>(…)</w:t>
      </w:r>
    </w:p>
    <w:p w:rsidR="00311170" w:rsidRDefault="00311170" w:rsidP="006453BF">
      <w:pPr>
        <w:jc w:val="both"/>
        <w:rPr>
          <w:color w:val="212529"/>
        </w:rPr>
      </w:pPr>
    </w:p>
    <w:p w:rsidR="00311170" w:rsidRDefault="006453BF" w:rsidP="00311170">
      <w:pPr>
        <w:jc w:val="both"/>
        <w:outlineLvl w:val="2"/>
        <w:rPr>
          <w:color w:val="212529"/>
        </w:rPr>
      </w:pPr>
      <w:r w:rsidRPr="006453BF">
        <w:rPr>
          <w:color w:val="212529"/>
        </w:rPr>
        <w:t>Motivation</w:t>
      </w:r>
    </w:p>
    <w:p w:rsidR="00311170" w:rsidRDefault="006453BF" w:rsidP="00311170">
      <w:pPr>
        <w:jc w:val="both"/>
        <w:outlineLvl w:val="2"/>
        <w:rPr>
          <w:color w:val="212529"/>
        </w:rPr>
      </w:pPr>
      <w:r w:rsidRPr="006453BF">
        <w:rPr>
          <w:color w:val="212529"/>
        </w:rPr>
        <w:t>Réponse de la Cour </w:t>
      </w:r>
    </w:p>
    <w:p w:rsidR="00311170" w:rsidRDefault="00311170" w:rsidP="00311170">
      <w:pPr>
        <w:jc w:val="both"/>
        <w:outlineLvl w:val="2"/>
        <w:rPr>
          <w:color w:val="212529"/>
        </w:rPr>
      </w:pPr>
    </w:p>
    <w:p w:rsidR="00311170" w:rsidRDefault="006453BF" w:rsidP="00311170">
      <w:pPr>
        <w:jc w:val="both"/>
        <w:outlineLvl w:val="2"/>
        <w:rPr>
          <w:color w:val="212529"/>
        </w:rPr>
      </w:pPr>
      <w:r w:rsidRPr="006453BF">
        <w:rPr>
          <w:color w:val="212529"/>
        </w:rPr>
        <w:t>9. L'arrêt, ayant retenu l'existence de circonstances inhabituelles entourant les virements litigieux laissant suspecter une possible « fraude au président », en a exactement déduit, sans exiger l'obtention d'un nouvel ordre de paiement, que la banque aurait dû vérifier la régularité des ordres de virement auprès du dirigeant, seule personne contractuellement habilitée à les valider.</w:t>
      </w:r>
    </w:p>
    <w:p w:rsidR="00311170" w:rsidRDefault="00311170" w:rsidP="00311170">
      <w:pPr>
        <w:jc w:val="both"/>
        <w:outlineLvl w:val="2"/>
        <w:rPr>
          <w:color w:val="212529"/>
        </w:rPr>
      </w:pPr>
    </w:p>
    <w:p w:rsidR="00311170" w:rsidRDefault="006453BF" w:rsidP="006453BF">
      <w:pPr>
        <w:jc w:val="both"/>
        <w:outlineLvl w:val="2"/>
        <w:rPr>
          <w:color w:val="212529"/>
        </w:rPr>
      </w:pPr>
      <w:r w:rsidRPr="006453BF">
        <w:rPr>
          <w:color w:val="212529"/>
        </w:rPr>
        <w:t>10. Le moyen, qui manque en fait en sa première branche, n'est pas fondé pour le surplus.</w:t>
      </w:r>
    </w:p>
    <w:p w:rsidR="00311170" w:rsidRDefault="00311170" w:rsidP="006453BF">
      <w:pPr>
        <w:jc w:val="both"/>
        <w:outlineLvl w:val="2"/>
        <w:rPr>
          <w:color w:val="212529"/>
        </w:rPr>
      </w:pPr>
    </w:p>
    <w:p w:rsidR="00311170" w:rsidRDefault="006453BF" w:rsidP="00311170">
      <w:pPr>
        <w:jc w:val="both"/>
        <w:outlineLvl w:val="2"/>
        <w:rPr>
          <w:color w:val="212529"/>
        </w:rPr>
      </w:pPr>
      <w:r w:rsidRPr="006453BF">
        <w:rPr>
          <w:color w:val="212529"/>
        </w:rPr>
        <w:t>Dispositi</w:t>
      </w:r>
      <w:r w:rsidR="00311170">
        <w:rPr>
          <w:color w:val="212529"/>
        </w:rPr>
        <w:t>f</w:t>
      </w:r>
    </w:p>
    <w:p w:rsidR="00311170" w:rsidRDefault="006453BF" w:rsidP="00311170">
      <w:pPr>
        <w:jc w:val="both"/>
        <w:outlineLvl w:val="2"/>
        <w:rPr>
          <w:color w:val="212529"/>
        </w:rPr>
      </w:pPr>
      <w:r w:rsidRPr="006453BF">
        <w:rPr>
          <w:color w:val="212529"/>
        </w:rPr>
        <w:t>PAR CES MOTIFS, la Cour :</w:t>
      </w:r>
    </w:p>
    <w:p w:rsidR="00311170" w:rsidRDefault="00311170" w:rsidP="00311170">
      <w:pPr>
        <w:jc w:val="both"/>
        <w:outlineLvl w:val="2"/>
        <w:rPr>
          <w:color w:val="212529"/>
        </w:rPr>
      </w:pPr>
    </w:p>
    <w:p w:rsidR="006453BF" w:rsidRPr="006453BF" w:rsidRDefault="006453BF" w:rsidP="00311170">
      <w:pPr>
        <w:jc w:val="both"/>
        <w:outlineLvl w:val="2"/>
        <w:rPr>
          <w:color w:val="212529"/>
        </w:rPr>
      </w:pPr>
      <w:r w:rsidRPr="006453BF">
        <w:rPr>
          <w:color w:val="212529"/>
        </w:rPr>
        <w:t>REJETTE le pourvoi ;</w:t>
      </w:r>
    </w:p>
    <w:p w:rsidR="006453BF" w:rsidRPr="006453BF" w:rsidRDefault="006453BF" w:rsidP="006453BF">
      <w:pPr>
        <w:jc w:val="both"/>
        <w:rPr>
          <w:color w:val="000000" w:themeColor="text1"/>
        </w:rPr>
      </w:pPr>
    </w:p>
    <w:p w:rsidR="006453BF" w:rsidRDefault="006453BF">
      <w:pPr>
        <w:jc w:val="both"/>
        <w:rPr>
          <w:color w:val="000000" w:themeColor="text1"/>
        </w:rPr>
      </w:pPr>
    </w:p>
    <w:p w:rsidR="006453BF" w:rsidRPr="00E929EE" w:rsidRDefault="006453BF" w:rsidP="006453BF">
      <w:pPr>
        <w:rPr>
          <w:b/>
          <w:u w:val="single"/>
        </w:rPr>
      </w:pPr>
      <w:r w:rsidRPr="00E929EE">
        <w:rPr>
          <w:b/>
          <w:u w:val="single"/>
        </w:rPr>
        <w:t>Fiches d’arrêts à préparer (penser à dégager une problématique)</w:t>
      </w:r>
    </w:p>
    <w:p w:rsidR="006453BF" w:rsidRDefault="006453BF" w:rsidP="006453BF">
      <w:pPr>
        <w:jc w:val="both"/>
        <w:rPr>
          <w:color w:val="000000" w:themeColor="text1"/>
        </w:rPr>
      </w:pPr>
    </w:p>
    <w:p w:rsidR="006453BF" w:rsidRPr="00EF060B" w:rsidRDefault="006453BF" w:rsidP="006453BF">
      <w:pPr>
        <w:rPr>
          <w:b/>
        </w:rPr>
      </w:pPr>
      <w:r w:rsidRPr="00EF060B">
        <w:rPr>
          <w:b/>
        </w:rPr>
        <w:t>-Devoir de non-ingérence</w:t>
      </w:r>
    </w:p>
    <w:p w:rsidR="00976CC9" w:rsidRPr="00976CC9" w:rsidRDefault="00976CC9" w:rsidP="00976CC9">
      <w:pPr>
        <w:jc w:val="both"/>
        <w:rPr>
          <w:b/>
          <w:bCs/>
          <w:color w:val="000000" w:themeColor="text1"/>
        </w:rPr>
      </w:pPr>
    </w:p>
    <w:p w:rsidR="00976CC9" w:rsidRPr="00976CC9" w:rsidRDefault="00976CC9" w:rsidP="00976CC9">
      <w:pPr>
        <w:jc w:val="both"/>
        <w:rPr>
          <w:b/>
          <w:color w:val="000000" w:themeColor="text1"/>
          <w:u w:val="single"/>
        </w:rPr>
      </w:pPr>
      <w:proofErr w:type="spellStart"/>
      <w:r w:rsidRPr="00976CC9">
        <w:rPr>
          <w:b/>
          <w:color w:val="000000" w:themeColor="text1"/>
        </w:rPr>
        <w:t>Cass</w:t>
      </w:r>
      <w:proofErr w:type="spellEnd"/>
      <w:r w:rsidRPr="00976CC9">
        <w:rPr>
          <w:b/>
          <w:color w:val="000000" w:themeColor="text1"/>
        </w:rPr>
        <w:t>. com., 21 septembre 2022, n° 21-12.335</w:t>
      </w:r>
    </w:p>
    <w:p w:rsidR="00976CC9" w:rsidRPr="00976CC9" w:rsidRDefault="00976CC9" w:rsidP="00976CC9">
      <w:pPr>
        <w:jc w:val="both"/>
        <w:rPr>
          <w:b/>
          <w:bCs/>
          <w:color w:val="000000" w:themeColor="text1"/>
        </w:rPr>
      </w:pPr>
    </w:p>
    <w:p w:rsidR="00976CC9" w:rsidRDefault="00976CC9" w:rsidP="00976CC9">
      <w:pPr>
        <w:jc w:val="both"/>
        <w:rPr>
          <w:color w:val="000000" w:themeColor="text1"/>
        </w:rPr>
      </w:pPr>
      <w:r w:rsidRPr="00976CC9">
        <w:rPr>
          <w:color w:val="000000" w:themeColor="text1"/>
          <w:shd w:val="clear" w:color="auto" w:fill="FFFFFF"/>
        </w:rPr>
        <w:t>Faits et procédure</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rPr>
      </w:pPr>
      <w:r w:rsidRPr="00976CC9">
        <w:rPr>
          <w:color w:val="000000" w:themeColor="text1"/>
          <w:shd w:val="clear" w:color="auto" w:fill="FFFFFF"/>
        </w:rPr>
        <w:t>1. Selon l'arrêt attaqué (Nancy, 5 novembre 2020), [J] [K] a investi en 2015 auprès de plusieurs sociétés financières européennes des fonds transférés par quinze virements effectués à partir du compte joint qu'il détenait avec son épouse, ouvert dans les livres de la société Caisse de crédit mutuel de [Localité 6] (la banque).</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rPr>
      </w:pPr>
      <w:r w:rsidRPr="00976CC9">
        <w:rPr>
          <w:color w:val="000000" w:themeColor="text1"/>
          <w:shd w:val="clear" w:color="auto" w:fill="FFFFFF"/>
        </w:rPr>
        <w:t>2. Faisant valoir qu'ils avaient été victime d'une escroquerie et n'avaient pu obtenir la restitution de leurs avoirs, [J] [K] et Mme [T] [M], son épouse, ont assigné la banque en indemnisation, lui reprochant d'avoir contribué à la réalisation de leur dommage du fait de manquements à ses obligations d'information et de vigilance. [J] [K] étant décédé en cours d'instance, son action a été reprise par M. [I] et Mmes [V] et [E] [K], ses ayants droit.</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shd w:val="clear" w:color="auto" w:fill="FFFFFF"/>
        </w:rPr>
      </w:pPr>
      <w:r>
        <w:rPr>
          <w:color w:val="000000" w:themeColor="text1"/>
          <w:shd w:val="clear" w:color="auto" w:fill="FFFFFF"/>
        </w:rPr>
        <w:t>(…)</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rPr>
      </w:pPr>
      <w:r w:rsidRPr="00976CC9">
        <w:rPr>
          <w:color w:val="000000" w:themeColor="text1"/>
          <w:shd w:val="clear" w:color="auto" w:fill="FFFFFF"/>
        </w:rPr>
        <w:t>4. Mme [T] [M], veuve [K], et, en leur qualité d'héritiers de [J] [K], M. [I] et Mmes [V] et [E] [K] font grief à l'arrêt de rejeter leurs demandes de dommages-intérêts, alors :</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rPr>
      </w:pPr>
      <w:r w:rsidRPr="00976CC9">
        <w:rPr>
          <w:color w:val="000000" w:themeColor="text1"/>
          <w:shd w:val="clear" w:color="auto" w:fill="FFFFFF"/>
        </w:rPr>
        <w:t>« 2°/ que le fait, pour un banquier, d'autoriser dix-huit virements, dont certains après avoir fait signer à son client une décharge de responsabilité, ayant pour objet l'achat de valeurs mobilières pour la somme totale de 2 838 873,33 euros auprès de sociétés domiciliées en Roumanie, en Bulgarie, en Pologne, en République tchèque et à Malte sur des comptes ouverts dans les livres de banques étrangères régulièrement mises en cause dans des escroqueries aux investissements et ayant fait l'objet de signalement par l'AMF dès 2011, constitue un manquement à son obligation de vigilance ; qu'en retenant qu'"aucun manquement ne peut être reproché à la CCM dans le cadre de son obligation contractuelle de vigilance et de prudence", la cour d'appel a méconnu l'article 1147 du code civil dans sa rédaction applicable en la cause, antérieure à l'ordonnance n° 2016-131 du 10 février 2016 ;</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shd w:val="clear" w:color="auto" w:fill="FFFFFF"/>
        </w:rPr>
      </w:pPr>
      <w:r>
        <w:rPr>
          <w:color w:val="000000" w:themeColor="text1"/>
          <w:shd w:val="clear" w:color="auto" w:fill="FFFFFF"/>
        </w:rPr>
        <w:t>(…)</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rPr>
      </w:pPr>
      <w:r w:rsidRPr="00976CC9">
        <w:rPr>
          <w:color w:val="000000" w:themeColor="text1"/>
          <w:shd w:val="clear" w:color="auto" w:fill="FFFFFF"/>
        </w:rPr>
        <w:t>Réponse de la Cour</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rPr>
      </w:pPr>
      <w:r w:rsidRPr="00976CC9">
        <w:rPr>
          <w:color w:val="000000" w:themeColor="text1"/>
          <w:shd w:val="clear" w:color="auto" w:fill="FFFFFF"/>
        </w:rPr>
        <w:t xml:space="preserve">5. Après avoir constaté qu'aucune des opérations de virement n'est affectée d'une anomalie matérielle, l'arrêt retient que les montants des virements effectués ne sont pas en eux-mêmes constitutifs d'anomalies, dès lors que le compte de [J] [K] et de son épouse est toujours resté créditeur et que ces montants doivent être mis en rapport avec l'importance du patrimoine des époux [K]. Il retient également que le libellé des virements litigieux ne faisait nullement apparaître qu'ils étaient destinés au financement d'opérations spéculatives sur le </w:t>
      </w:r>
      <w:proofErr w:type="spellStart"/>
      <w:r w:rsidRPr="00976CC9">
        <w:rPr>
          <w:color w:val="000000" w:themeColor="text1"/>
          <w:shd w:val="clear" w:color="auto" w:fill="FFFFFF"/>
        </w:rPr>
        <w:t>Forex</w:t>
      </w:r>
      <w:proofErr w:type="spellEnd"/>
      <w:r w:rsidRPr="00976CC9">
        <w:rPr>
          <w:color w:val="000000" w:themeColor="text1"/>
          <w:shd w:val="clear" w:color="auto" w:fill="FFFFFF"/>
        </w:rPr>
        <w:t xml:space="preserve"> (marché des changes) et que, selon les documents dont la banque avait connaissance, [J] [K] et son épouse vendaient des titres boursiers pour procéder à l'achat de valeurs mobilières via des sociétés financières européennes ayant leurs comptes domiciliés en Bulgarie, à Malte, en Roumanie, en Pologne, en République tchèque ou en Géorgie. Il retient encore qu'il n'est pas </w:t>
      </w:r>
      <w:r w:rsidRPr="00976CC9">
        <w:rPr>
          <w:color w:val="000000" w:themeColor="text1"/>
          <w:shd w:val="clear" w:color="auto" w:fill="FFFFFF"/>
        </w:rPr>
        <w:lastRenderedPageBreak/>
        <w:t xml:space="preserve">établi que la TBI Bank, où l'un des comptes à créditer était domicilié, aurait déjà été mise en cause dans des escroqueries aux investissements sur le </w:t>
      </w:r>
      <w:proofErr w:type="spellStart"/>
      <w:r w:rsidRPr="00976CC9">
        <w:rPr>
          <w:color w:val="000000" w:themeColor="text1"/>
          <w:shd w:val="clear" w:color="auto" w:fill="FFFFFF"/>
        </w:rPr>
        <w:t>Forex</w:t>
      </w:r>
      <w:proofErr w:type="spellEnd"/>
      <w:r w:rsidRPr="00976CC9">
        <w:rPr>
          <w:color w:val="000000" w:themeColor="text1"/>
          <w:shd w:val="clear" w:color="auto" w:fill="FFFFFF"/>
        </w:rPr>
        <w:t>.</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rPr>
      </w:pPr>
      <w:r w:rsidRPr="00976CC9">
        <w:rPr>
          <w:color w:val="000000" w:themeColor="text1"/>
          <w:shd w:val="clear" w:color="auto" w:fill="FFFFFF"/>
        </w:rPr>
        <w:t>6. L'arrêt ajoute que le fait que la banque ait fait preuve, à compter de septembre 2015, d'une vigilance dépassant le cadre légal de ses obligations en effectuant des recherches sur l'identité des organismes bénéficiant des derniers virements ordonnés par [J] [K] ne saurait être retenu contre elle et relève que, même informé de certaines anomalies découvertes par la banque aux termes de recherches auxquelles elle n'était pas tenue, [J] [K] a persisté dans sa volonté de poursuivre ce type d'opérations en signant une décharge de responsabilité circonstanciée au bénéfice de la banque.</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rPr>
      </w:pPr>
      <w:r w:rsidRPr="00976CC9">
        <w:rPr>
          <w:color w:val="000000" w:themeColor="text1"/>
          <w:shd w:val="clear" w:color="auto" w:fill="FFFFFF"/>
        </w:rPr>
        <w:t>7. En l'état de ces constatations et appréciations, la cour d'appel, qui a effectué la recherche invoquée par la troisième branche et n'était pas tenue d'effectuer celle invoquée par la quatrième branche, que ses constatations rendaient inopérante, a pu retenir que la banque n'avait commis aucun manquement à son obligation de vigilance.</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shd w:val="clear" w:color="auto" w:fill="FFFFFF"/>
        </w:rPr>
      </w:pPr>
      <w:r>
        <w:rPr>
          <w:color w:val="000000" w:themeColor="text1"/>
          <w:shd w:val="clear" w:color="auto" w:fill="FFFFFF"/>
        </w:rPr>
        <w:t>(…)</w:t>
      </w:r>
    </w:p>
    <w:p w:rsidR="00976CC9" w:rsidRDefault="00976CC9" w:rsidP="00976CC9">
      <w:pPr>
        <w:jc w:val="both"/>
        <w:rPr>
          <w:color w:val="000000" w:themeColor="text1"/>
          <w:shd w:val="clear" w:color="auto" w:fill="FFFFFF"/>
        </w:rPr>
      </w:pPr>
    </w:p>
    <w:p w:rsidR="00976CC9" w:rsidRDefault="00976CC9" w:rsidP="00976CC9">
      <w:pPr>
        <w:jc w:val="both"/>
        <w:rPr>
          <w:color w:val="000000" w:themeColor="text1"/>
        </w:rPr>
      </w:pPr>
      <w:r w:rsidRPr="00976CC9">
        <w:rPr>
          <w:color w:val="000000" w:themeColor="text1"/>
          <w:shd w:val="clear" w:color="auto" w:fill="FFFFFF"/>
        </w:rPr>
        <w:t>PAR CES MOTIFS, la Cour :</w:t>
      </w:r>
    </w:p>
    <w:p w:rsidR="00976CC9" w:rsidRDefault="00976CC9" w:rsidP="00976CC9">
      <w:pPr>
        <w:jc w:val="both"/>
        <w:rPr>
          <w:color w:val="000000" w:themeColor="text1"/>
          <w:shd w:val="clear" w:color="auto" w:fill="FFFFFF"/>
        </w:rPr>
      </w:pPr>
    </w:p>
    <w:p w:rsidR="00976CC9" w:rsidRPr="00976CC9" w:rsidRDefault="00976CC9" w:rsidP="00976CC9">
      <w:pPr>
        <w:jc w:val="both"/>
        <w:rPr>
          <w:color w:val="000000" w:themeColor="text1"/>
        </w:rPr>
      </w:pPr>
      <w:r w:rsidRPr="00976CC9">
        <w:rPr>
          <w:color w:val="000000" w:themeColor="text1"/>
          <w:shd w:val="clear" w:color="auto" w:fill="FFFFFF"/>
        </w:rPr>
        <w:t>REJETTE le pourvoi ;</w:t>
      </w:r>
    </w:p>
    <w:p w:rsidR="00976CC9" w:rsidRPr="00976CC9" w:rsidRDefault="00976CC9" w:rsidP="00976CC9">
      <w:pPr>
        <w:jc w:val="both"/>
        <w:rPr>
          <w:b/>
          <w:bCs/>
          <w:color w:val="000000" w:themeColor="text1"/>
        </w:rPr>
      </w:pPr>
    </w:p>
    <w:p w:rsidR="006453BF" w:rsidRPr="00EF060B" w:rsidRDefault="006453BF" w:rsidP="006453BF">
      <w:pPr>
        <w:rPr>
          <w:b/>
        </w:rPr>
      </w:pPr>
      <w:r w:rsidRPr="00EF060B">
        <w:rPr>
          <w:b/>
        </w:rPr>
        <w:t>-Obligation du secret bancaire</w:t>
      </w:r>
    </w:p>
    <w:p w:rsidR="006453BF" w:rsidRPr="00EF060B" w:rsidRDefault="006453BF" w:rsidP="006453BF">
      <w:pPr>
        <w:rPr>
          <w:b/>
        </w:rPr>
      </w:pPr>
    </w:p>
    <w:p w:rsidR="006453BF" w:rsidRPr="00EF060B" w:rsidRDefault="006453BF" w:rsidP="006453BF">
      <w:pPr>
        <w:rPr>
          <w:b/>
        </w:rPr>
      </w:pPr>
      <w:proofErr w:type="spellStart"/>
      <w:r w:rsidRPr="00EF060B">
        <w:rPr>
          <w:b/>
        </w:rPr>
        <w:t>Cass</w:t>
      </w:r>
      <w:proofErr w:type="spellEnd"/>
      <w:r w:rsidRPr="00EF060B">
        <w:rPr>
          <w:b/>
        </w:rPr>
        <w:t>. com., 15 mai 2019, n° 18-10.491</w:t>
      </w:r>
    </w:p>
    <w:p w:rsidR="006453BF" w:rsidRDefault="006453BF" w:rsidP="006453BF">
      <w:pPr>
        <w:jc w:val="both"/>
        <w:rPr>
          <w:b/>
        </w:rPr>
      </w:pPr>
    </w:p>
    <w:p w:rsidR="006453BF" w:rsidRDefault="006453BF" w:rsidP="006453BF">
      <w:pPr>
        <w:shd w:val="clear" w:color="auto" w:fill="FFFFFF"/>
        <w:jc w:val="both"/>
        <w:rPr>
          <w:rFonts w:ascii="TimesNewRomanPSMT" w:hAnsi="TimesNewRomanPSMT" w:cs="TimesNewRomanPSMT"/>
        </w:rPr>
      </w:pPr>
      <w:r w:rsidRPr="00A93102">
        <w:rPr>
          <w:rFonts w:ascii="TimesNewRomanPSMT" w:hAnsi="TimesNewRomanPSMT" w:cs="TimesNewRomanPSMT"/>
        </w:rPr>
        <w:t xml:space="preserve">Vu l’article L. 511-33 du code </w:t>
      </w:r>
      <w:proofErr w:type="spellStart"/>
      <w:r w:rsidRPr="00A93102">
        <w:rPr>
          <w:rFonts w:ascii="TimesNewRomanPSMT" w:hAnsi="TimesNewRomanPSMT" w:cs="TimesNewRomanPSMT"/>
        </w:rPr>
        <w:t>monétaire</w:t>
      </w:r>
      <w:proofErr w:type="spellEnd"/>
      <w:r w:rsidRPr="00A93102">
        <w:rPr>
          <w:rFonts w:ascii="TimesNewRomanPSMT" w:hAnsi="TimesNewRomanPSMT" w:cs="TimesNewRomanPSMT"/>
        </w:rPr>
        <w:t xml:space="preserve"> et financier, l’article 10 du code civil et les articles 9 et 11 du code de </w:t>
      </w:r>
      <w:proofErr w:type="spellStart"/>
      <w:r w:rsidRPr="00A93102">
        <w:rPr>
          <w:rFonts w:ascii="TimesNewRomanPSMT" w:hAnsi="TimesNewRomanPSMT" w:cs="TimesNewRomanPSMT"/>
        </w:rPr>
        <w:t>procédure</w:t>
      </w:r>
      <w:proofErr w:type="spellEnd"/>
      <w:r w:rsidRPr="00A93102">
        <w:rPr>
          <w:rFonts w:ascii="TimesNewRomanPSMT" w:hAnsi="TimesNewRomanPSMT" w:cs="TimesNewRomanPSMT"/>
        </w:rPr>
        <w:t xml:space="preserve"> civile ; </w:t>
      </w:r>
    </w:p>
    <w:p w:rsidR="006453BF" w:rsidRPr="00A93102" w:rsidRDefault="006453BF" w:rsidP="006453BF">
      <w:pPr>
        <w:shd w:val="clear" w:color="auto" w:fill="FFFFFF"/>
        <w:jc w:val="both"/>
      </w:pPr>
    </w:p>
    <w:p w:rsidR="006453BF" w:rsidRPr="00AE7701" w:rsidRDefault="006453BF" w:rsidP="006453BF">
      <w:pPr>
        <w:shd w:val="clear" w:color="auto" w:fill="FFFFFF"/>
        <w:jc w:val="both"/>
      </w:pPr>
      <w:r w:rsidRPr="00A93102">
        <w:rPr>
          <w:rFonts w:ascii="TimesNewRomanPSMT" w:hAnsi="TimesNewRomanPSMT" w:cs="TimesNewRomanPSMT"/>
        </w:rPr>
        <w:t>Attendu, selon l’</w:t>
      </w:r>
      <w:proofErr w:type="spellStart"/>
      <w:r w:rsidRPr="00A93102">
        <w:rPr>
          <w:rFonts w:ascii="TimesNewRomanPSMT" w:hAnsi="TimesNewRomanPSMT" w:cs="TimesNewRomanPSMT"/>
        </w:rPr>
        <w:t>arrêt</w:t>
      </w:r>
      <w:proofErr w:type="spellEnd"/>
      <w:r w:rsidRPr="00A93102">
        <w:rPr>
          <w:rFonts w:ascii="TimesNewRomanPSMT" w:hAnsi="TimesNewRomanPSMT" w:cs="TimesNewRomanPSMT"/>
        </w:rPr>
        <w:t xml:space="preserve"> attaqué, rendu en </w:t>
      </w:r>
      <w:proofErr w:type="spellStart"/>
      <w:r w:rsidRPr="00A93102">
        <w:rPr>
          <w:rFonts w:ascii="TimesNewRomanPSMT" w:hAnsi="TimesNewRomanPSMT" w:cs="TimesNewRomanPSMT"/>
        </w:rPr>
        <w:t>matière</w:t>
      </w:r>
      <w:proofErr w:type="spellEnd"/>
      <w:r w:rsidRPr="00A93102">
        <w:rPr>
          <w:rFonts w:ascii="TimesNewRomanPSMT" w:hAnsi="TimesNewRomanPSMT" w:cs="TimesNewRomanPSMT"/>
        </w:rPr>
        <w:t xml:space="preserve"> de </w:t>
      </w:r>
      <w:proofErr w:type="spellStart"/>
      <w:r w:rsidRPr="00A93102">
        <w:rPr>
          <w:rFonts w:ascii="TimesNewRomanPSMT" w:hAnsi="TimesNewRomanPSMT" w:cs="TimesNewRomanPSMT"/>
        </w:rPr>
        <w:t>référe</w:t>
      </w:r>
      <w:proofErr w:type="spellEnd"/>
      <w:r w:rsidRPr="00A93102">
        <w:rPr>
          <w:rFonts w:ascii="TimesNewRomanPSMT" w:hAnsi="TimesNewRomanPSMT" w:cs="TimesNewRomanPSMT"/>
        </w:rPr>
        <w:t xml:space="preserve">́, que M. et Mme R... , titulaires d’un compte dans les livres de la </w:t>
      </w:r>
      <w:proofErr w:type="spellStart"/>
      <w:r w:rsidRPr="00A93102">
        <w:rPr>
          <w:rFonts w:ascii="TimesNewRomanPSMT" w:hAnsi="TimesNewRomanPSMT" w:cs="TimesNewRomanPSMT"/>
        </w:rPr>
        <w:t>sociéte</w:t>
      </w:r>
      <w:proofErr w:type="spellEnd"/>
      <w:r w:rsidRPr="00A93102">
        <w:rPr>
          <w:rFonts w:ascii="TimesNewRomanPSMT" w:hAnsi="TimesNewRomanPSMT" w:cs="TimesNewRomanPSMT"/>
        </w:rPr>
        <w:t xml:space="preserve">́ Caisse </w:t>
      </w:r>
      <w:proofErr w:type="spellStart"/>
      <w:r w:rsidRPr="00A93102">
        <w:rPr>
          <w:rFonts w:ascii="TimesNewRomanPSMT" w:hAnsi="TimesNewRomanPSMT" w:cs="TimesNewRomanPSMT"/>
        </w:rPr>
        <w:t>régionale</w:t>
      </w:r>
      <w:proofErr w:type="spellEnd"/>
      <w:r w:rsidRPr="00A93102">
        <w:rPr>
          <w:rFonts w:ascii="TimesNewRomanPSMT" w:hAnsi="TimesNewRomanPSMT" w:cs="TimesNewRomanPSMT"/>
        </w:rPr>
        <w:t xml:space="preserve"> de </w:t>
      </w:r>
      <w:proofErr w:type="spellStart"/>
      <w:r w:rsidRPr="00A93102">
        <w:rPr>
          <w:rFonts w:ascii="TimesNewRomanPSMT" w:hAnsi="TimesNewRomanPSMT" w:cs="TimesNewRomanPSMT"/>
        </w:rPr>
        <w:t>crédit</w:t>
      </w:r>
      <w:proofErr w:type="spellEnd"/>
      <w:r w:rsidRPr="00A93102">
        <w:rPr>
          <w:rFonts w:ascii="TimesNewRomanPSMT" w:hAnsi="TimesNewRomanPSMT" w:cs="TimesNewRomanPSMT"/>
        </w:rPr>
        <w:t xml:space="preserve"> agricole mutuel d’Aquitaine (la banque), ont </w:t>
      </w:r>
      <w:proofErr w:type="spellStart"/>
      <w:r w:rsidRPr="00A93102">
        <w:rPr>
          <w:rFonts w:ascii="TimesNewRomanPSMT" w:hAnsi="TimesNewRomanPSMT" w:cs="TimesNewRomanPSMT"/>
        </w:rPr>
        <w:t>émis</w:t>
      </w:r>
      <w:proofErr w:type="spellEnd"/>
      <w:r w:rsidRPr="00A93102">
        <w:rPr>
          <w:rFonts w:ascii="TimesNewRomanPSMT" w:hAnsi="TimesNewRomanPSMT" w:cs="TimesNewRomanPSMT"/>
        </w:rPr>
        <w:t xml:space="preserve"> quatre </w:t>
      </w:r>
      <w:proofErr w:type="spellStart"/>
      <w:r w:rsidRPr="00A93102">
        <w:rPr>
          <w:rFonts w:ascii="TimesNewRomanPSMT" w:hAnsi="TimesNewRomanPSMT" w:cs="TimesNewRomanPSMT"/>
        </w:rPr>
        <w:t>chèques</w:t>
      </w:r>
      <w:proofErr w:type="spellEnd"/>
      <w:r w:rsidRPr="00A93102">
        <w:rPr>
          <w:rFonts w:ascii="TimesNewRomanPSMT" w:hAnsi="TimesNewRomanPSMT" w:cs="TimesNewRomanPSMT"/>
        </w:rPr>
        <w:t xml:space="preserve"> à l’ordre de la </w:t>
      </w:r>
      <w:proofErr w:type="spellStart"/>
      <w:r w:rsidRPr="00A93102">
        <w:rPr>
          <w:rFonts w:ascii="TimesNewRomanPSMT" w:hAnsi="TimesNewRomanPSMT" w:cs="TimesNewRomanPSMT"/>
        </w:rPr>
        <w:t>sociéte</w:t>
      </w:r>
      <w:proofErr w:type="spellEnd"/>
      <w:r w:rsidRPr="00A93102">
        <w:rPr>
          <w:rFonts w:ascii="TimesNewRomanPSMT" w:hAnsi="TimesNewRomanPSMT" w:cs="TimesNewRomanPSMT"/>
        </w:rPr>
        <w:t xml:space="preserve">́ </w:t>
      </w:r>
      <w:proofErr w:type="spellStart"/>
      <w:r w:rsidRPr="00A93102">
        <w:rPr>
          <w:rFonts w:ascii="TimesNewRomanPSMT" w:hAnsi="TimesNewRomanPSMT" w:cs="TimesNewRomanPSMT"/>
        </w:rPr>
        <w:t>Batibox</w:t>
      </w:r>
      <w:proofErr w:type="spellEnd"/>
      <w:r w:rsidRPr="00A93102">
        <w:rPr>
          <w:rFonts w:ascii="TimesNewRomanPSMT" w:hAnsi="TimesNewRomanPSMT" w:cs="TimesNewRomanPSMT"/>
        </w:rPr>
        <w:t xml:space="preserve"> pour un montant global de 14194 euros ; qu’ayant fait valoir que la banque leur avait </w:t>
      </w:r>
      <w:proofErr w:type="spellStart"/>
      <w:r w:rsidRPr="00A93102">
        <w:rPr>
          <w:rFonts w:ascii="TimesNewRomanPSMT" w:hAnsi="TimesNewRomanPSMT" w:cs="TimesNewRomanPSMT"/>
        </w:rPr>
        <w:t>refuse</w:t>
      </w:r>
      <w:proofErr w:type="spellEnd"/>
      <w:r w:rsidRPr="00A93102">
        <w:rPr>
          <w:rFonts w:ascii="TimesNewRomanPSMT" w:hAnsi="TimesNewRomanPSMT" w:cs="TimesNewRomanPSMT"/>
        </w:rPr>
        <w:t xml:space="preserve">́ la communication de la copie de l’endossement des </w:t>
      </w:r>
      <w:proofErr w:type="spellStart"/>
      <w:r w:rsidRPr="00A93102">
        <w:rPr>
          <w:rFonts w:ascii="TimesNewRomanPSMT" w:hAnsi="TimesNewRomanPSMT" w:cs="TimesNewRomanPSMT"/>
        </w:rPr>
        <w:t>chèques</w:t>
      </w:r>
      <w:proofErr w:type="spellEnd"/>
      <w:r w:rsidRPr="00A93102">
        <w:rPr>
          <w:rFonts w:ascii="TimesNewRomanPSMT" w:hAnsi="TimesNewRomanPSMT" w:cs="TimesNewRomanPSMT"/>
        </w:rPr>
        <w:t xml:space="preserve"> ainsi que les informations concernant le </w:t>
      </w:r>
      <w:proofErr w:type="spellStart"/>
      <w:r w:rsidRPr="00A93102">
        <w:rPr>
          <w:rFonts w:ascii="TimesNewRomanPSMT" w:hAnsi="TimesNewRomanPSMT" w:cs="TimesNewRomanPSMT"/>
        </w:rPr>
        <w:t>bénéficiaire</w:t>
      </w:r>
      <w:proofErr w:type="spellEnd"/>
      <w:r w:rsidRPr="00A93102">
        <w:rPr>
          <w:rFonts w:ascii="TimesNewRomanPSMT" w:hAnsi="TimesNewRomanPSMT" w:cs="TimesNewRomanPSMT"/>
        </w:rPr>
        <w:t xml:space="preserve"> effectif du compte </w:t>
      </w:r>
      <w:proofErr w:type="spellStart"/>
      <w:r w:rsidRPr="00A93102">
        <w:rPr>
          <w:rFonts w:ascii="TimesNewRomanPSMT" w:hAnsi="TimesNewRomanPSMT" w:cs="TimesNewRomanPSMT"/>
        </w:rPr>
        <w:t>crédite</w:t>
      </w:r>
      <w:proofErr w:type="spellEnd"/>
      <w:r w:rsidRPr="00A93102">
        <w:rPr>
          <w:rFonts w:ascii="TimesNewRomanPSMT" w:hAnsi="TimesNewRomanPSMT" w:cs="TimesNewRomanPSMT"/>
        </w:rPr>
        <w:t xml:space="preserve">́, M. et Mme R... ont saisi le juge des </w:t>
      </w:r>
      <w:proofErr w:type="spellStart"/>
      <w:r w:rsidRPr="00A93102">
        <w:rPr>
          <w:rFonts w:ascii="TimesNewRomanPSMT" w:hAnsi="TimesNewRomanPSMT" w:cs="TimesNewRomanPSMT"/>
        </w:rPr>
        <w:t>référés</w:t>
      </w:r>
      <w:proofErr w:type="spellEnd"/>
      <w:r w:rsidRPr="00A93102">
        <w:rPr>
          <w:rFonts w:ascii="TimesNewRomanPSMT" w:hAnsi="TimesNewRomanPSMT" w:cs="TimesNewRomanPSMT"/>
        </w:rPr>
        <w:t xml:space="preserve">, sur le fondement de l’article 145 du code de </w:t>
      </w:r>
      <w:proofErr w:type="spellStart"/>
      <w:r w:rsidRPr="00A93102">
        <w:rPr>
          <w:rFonts w:ascii="TimesNewRomanPSMT" w:hAnsi="TimesNewRomanPSMT" w:cs="TimesNewRomanPSMT"/>
        </w:rPr>
        <w:t>procédure</w:t>
      </w:r>
      <w:proofErr w:type="spellEnd"/>
      <w:r w:rsidRPr="00A93102">
        <w:rPr>
          <w:rFonts w:ascii="TimesNewRomanPSMT" w:hAnsi="TimesNewRomanPSMT" w:cs="TimesNewRomanPSMT"/>
        </w:rPr>
        <w:t xml:space="preserve"> civile, pour qu’il ordonne à la banque de produire le verso des </w:t>
      </w:r>
      <w:proofErr w:type="spellStart"/>
      <w:r w:rsidRPr="00A93102">
        <w:rPr>
          <w:rFonts w:ascii="TimesNewRomanPSMT" w:hAnsi="TimesNewRomanPSMT" w:cs="TimesNewRomanPSMT"/>
        </w:rPr>
        <w:t>chèques</w:t>
      </w:r>
      <w:proofErr w:type="spellEnd"/>
      <w:r w:rsidRPr="00A93102">
        <w:rPr>
          <w:rFonts w:ascii="TimesNewRomanPSMT" w:hAnsi="TimesNewRomanPSMT" w:cs="TimesNewRomanPSMT"/>
        </w:rPr>
        <w:t xml:space="preserve"> ; que la banque leur a </w:t>
      </w:r>
      <w:proofErr w:type="spellStart"/>
      <w:r w:rsidRPr="00A93102">
        <w:rPr>
          <w:rFonts w:ascii="TimesNewRomanPSMT" w:hAnsi="TimesNewRomanPSMT" w:cs="TimesNewRomanPSMT"/>
        </w:rPr>
        <w:t>oppose</w:t>
      </w:r>
      <w:proofErr w:type="spellEnd"/>
      <w:r w:rsidRPr="00A93102">
        <w:rPr>
          <w:rFonts w:ascii="TimesNewRomanPSMT" w:hAnsi="TimesNewRomanPSMT" w:cs="TimesNewRomanPSMT"/>
        </w:rPr>
        <w:t xml:space="preserve">́, notamment, le secret bancaire ; </w:t>
      </w:r>
    </w:p>
    <w:p w:rsidR="006453BF" w:rsidRPr="00A93102" w:rsidRDefault="006453BF" w:rsidP="006453BF">
      <w:pPr>
        <w:shd w:val="clear" w:color="auto" w:fill="FFFFFF"/>
        <w:jc w:val="both"/>
      </w:pPr>
    </w:p>
    <w:p w:rsidR="006453BF" w:rsidRDefault="006453BF" w:rsidP="006453BF">
      <w:pPr>
        <w:shd w:val="clear" w:color="auto" w:fill="FFFFFF"/>
        <w:jc w:val="both"/>
        <w:rPr>
          <w:rFonts w:ascii="TimesNewRomanPSMT" w:hAnsi="TimesNewRomanPSMT" w:cs="TimesNewRomanPSMT"/>
        </w:rPr>
      </w:pPr>
      <w:r w:rsidRPr="00A93102">
        <w:rPr>
          <w:rFonts w:ascii="TimesNewRomanPSMT" w:hAnsi="TimesNewRomanPSMT" w:cs="TimesNewRomanPSMT"/>
        </w:rPr>
        <w:t>Attendu que pour rejeter la demande, l’</w:t>
      </w:r>
      <w:proofErr w:type="spellStart"/>
      <w:r w:rsidRPr="00A93102">
        <w:rPr>
          <w:rFonts w:ascii="TimesNewRomanPSMT" w:hAnsi="TimesNewRomanPSMT" w:cs="TimesNewRomanPSMT"/>
        </w:rPr>
        <w:t>arrêt</w:t>
      </w:r>
      <w:proofErr w:type="spellEnd"/>
      <w:r w:rsidRPr="00A93102">
        <w:rPr>
          <w:rFonts w:ascii="TimesNewRomanPSMT" w:hAnsi="TimesNewRomanPSMT" w:cs="TimesNewRomanPSMT"/>
        </w:rPr>
        <w:t xml:space="preserve"> retient qu’en produisant les </w:t>
      </w:r>
      <w:proofErr w:type="spellStart"/>
      <w:r w:rsidRPr="00A93102">
        <w:rPr>
          <w:rFonts w:ascii="TimesNewRomanPSMT" w:hAnsi="TimesNewRomanPSMT" w:cs="TimesNewRomanPSMT"/>
        </w:rPr>
        <w:t>pièces</w:t>
      </w:r>
      <w:proofErr w:type="spellEnd"/>
      <w:r w:rsidRPr="00A93102">
        <w:rPr>
          <w:rFonts w:ascii="TimesNewRomanPSMT" w:hAnsi="TimesNewRomanPSMT" w:cs="TimesNewRomanPSMT"/>
        </w:rPr>
        <w:t xml:space="preserve"> </w:t>
      </w:r>
      <w:proofErr w:type="spellStart"/>
      <w:r w:rsidRPr="00A93102">
        <w:rPr>
          <w:rFonts w:ascii="TimesNewRomanPSMT" w:hAnsi="TimesNewRomanPSMT" w:cs="TimesNewRomanPSMT"/>
        </w:rPr>
        <w:t>demandées</w:t>
      </w:r>
      <w:proofErr w:type="spellEnd"/>
      <w:r w:rsidRPr="00A93102">
        <w:rPr>
          <w:rFonts w:ascii="TimesNewRomanPSMT" w:hAnsi="TimesNewRomanPSMT" w:cs="TimesNewRomanPSMT"/>
        </w:rPr>
        <w:t xml:space="preserve">, la banque divulguerait les informations figurant au verso des </w:t>
      </w:r>
      <w:proofErr w:type="spellStart"/>
      <w:r w:rsidRPr="00A93102">
        <w:rPr>
          <w:rFonts w:ascii="TimesNewRomanPSMT" w:hAnsi="TimesNewRomanPSMT" w:cs="TimesNewRomanPSMT"/>
        </w:rPr>
        <w:t>chèques</w:t>
      </w:r>
      <w:proofErr w:type="spellEnd"/>
      <w:r w:rsidRPr="00A93102">
        <w:rPr>
          <w:rFonts w:ascii="TimesNewRomanPSMT" w:hAnsi="TimesNewRomanPSMT" w:cs="TimesNewRomanPSMT"/>
        </w:rPr>
        <w:t xml:space="preserve"> et porterait ainsi atteinte au secret dont sont titulaires les </w:t>
      </w:r>
      <w:proofErr w:type="spellStart"/>
      <w:r w:rsidRPr="00A93102">
        <w:rPr>
          <w:rFonts w:ascii="TimesNewRomanPSMT" w:hAnsi="TimesNewRomanPSMT" w:cs="TimesNewRomanPSMT"/>
        </w:rPr>
        <w:t>bénéficiaires</w:t>
      </w:r>
      <w:proofErr w:type="spellEnd"/>
      <w:r w:rsidRPr="00A93102">
        <w:rPr>
          <w:rFonts w:ascii="TimesNewRomanPSMT" w:hAnsi="TimesNewRomanPSMT" w:cs="TimesNewRomanPSMT"/>
        </w:rPr>
        <w:t xml:space="preserve"> desdits </w:t>
      </w:r>
      <w:proofErr w:type="spellStart"/>
      <w:r w:rsidRPr="00A93102">
        <w:rPr>
          <w:rFonts w:ascii="TimesNewRomanPSMT" w:hAnsi="TimesNewRomanPSMT" w:cs="TimesNewRomanPSMT"/>
        </w:rPr>
        <w:t>chèques</w:t>
      </w:r>
      <w:proofErr w:type="spellEnd"/>
      <w:r w:rsidRPr="00A93102">
        <w:rPr>
          <w:rFonts w:ascii="TimesNewRomanPSMT" w:hAnsi="TimesNewRomanPSMT" w:cs="TimesNewRomanPSMT"/>
        </w:rPr>
        <w:t xml:space="preserve"> ; </w:t>
      </w:r>
    </w:p>
    <w:p w:rsidR="006453BF" w:rsidRPr="00A93102" w:rsidRDefault="006453BF" w:rsidP="006453BF">
      <w:pPr>
        <w:shd w:val="clear" w:color="auto" w:fill="FFFFFF"/>
        <w:jc w:val="both"/>
      </w:pPr>
    </w:p>
    <w:p w:rsidR="006453BF" w:rsidRDefault="006453BF" w:rsidP="006453BF">
      <w:pPr>
        <w:shd w:val="clear" w:color="auto" w:fill="FFFFFF"/>
        <w:jc w:val="both"/>
        <w:rPr>
          <w:rFonts w:ascii="TimesNewRomanPSMT" w:hAnsi="TimesNewRomanPSMT" w:cs="TimesNewRomanPSMT"/>
        </w:rPr>
      </w:pPr>
      <w:r w:rsidRPr="00A93102">
        <w:rPr>
          <w:rFonts w:ascii="TimesNewRomanPSMT" w:hAnsi="TimesNewRomanPSMT" w:cs="TimesNewRomanPSMT"/>
        </w:rPr>
        <w:t xml:space="preserve">Qu’en se </w:t>
      </w:r>
      <w:proofErr w:type="spellStart"/>
      <w:r w:rsidRPr="00A93102">
        <w:rPr>
          <w:rFonts w:ascii="TimesNewRomanPSMT" w:hAnsi="TimesNewRomanPSMT" w:cs="TimesNewRomanPSMT"/>
        </w:rPr>
        <w:t>déterminant</w:t>
      </w:r>
      <w:proofErr w:type="spellEnd"/>
      <w:r w:rsidRPr="00A93102">
        <w:rPr>
          <w:rFonts w:ascii="TimesNewRomanPSMT" w:hAnsi="TimesNewRomanPSMT" w:cs="TimesNewRomanPSMT"/>
        </w:rPr>
        <w:t xml:space="preserve"> ainsi, sans rechercher si la communication à M. et Mme R... des informations figurant au verso des </w:t>
      </w:r>
      <w:proofErr w:type="spellStart"/>
      <w:r w:rsidRPr="00A93102">
        <w:rPr>
          <w:rFonts w:ascii="TimesNewRomanPSMT" w:hAnsi="TimesNewRomanPSMT" w:cs="TimesNewRomanPSMT"/>
        </w:rPr>
        <w:t>chèques</w:t>
      </w:r>
      <w:proofErr w:type="spellEnd"/>
      <w:r w:rsidRPr="00A93102">
        <w:rPr>
          <w:rFonts w:ascii="TimesNewRomanPSMT" w:hAnsi="TimesNewRomanPSMT" w:cs="TimesNewRomanPSMT"/>
        </w:rPr>
        <w:t xml:space="preserve"> qu’ils avaient </w:t>
      </w:r>
      <w:proofErr w:type="spellStart"/>
      <w:r w:rsidRPr="00A93102">
        <w:rPr>
          <w:rFonts w:ascii="TimesNewRomanPSMT" w:hAnsi="TimesNewRomanPSMT" w:cs="TimesNewRomanPSMT"/>
        </w:rPr>
        <w:t>émis</w:t>
      </w:r>
      <w:proofErr w:type="spellEnd"/>
      <w:r w:rsidRPr="00A93102">
        <w:rPr>
          <w:rFonts w:ascii="TimesNewRomanPSMT" w:hAnsi="TimesNewRomanPSMT" w:cs="TimesNewRomanPSMT"/>
        </w:rPr>
        <w:t xml:space="preserve"> n’</w:t>
      </w:r>
      <w:proofErr w:type="spellStart"/>
      <w:r w:rsidRPr="00A93102">
        <w:rPr>
          <w:rFonts w:ascii="TimesNewRomanPSMT" w:hAnsi="TimesNewRomanPSMT" w:cs="TimesNewRomanPSMT"/>
        </w:rPr>
        <w:t>était</w:t>
      </w:r>
      <w:proofErr w:type="spellEnd"/>
      <w:r w:rsidRPr="00A93102">
        <w:rPr>
          <w:rFonts w:ascii="TimesNewRomanPSMT" w:hAnsi="TimesNewRomanPSMT" w:cs="TimesNewRomanPSMT"/>
        </w:rPr>
        <w:t xml:space="preserve"> pas indispensable à l’exercice de leur droit à la preuve, pour rechercher l’</w:t>
      </w:r>
      <w:proofErr w:type="spellStart"/>
      <w:r w:rsidRPr="00A93102">
        <w:rPr>
          <w:rFonts w:ascii="TimesNewRomanPSMT" w:hAnsi="TimesNewRomanPSMT" w:cs="TimesNewRomanPSMT"/>
        </w:rPr>
        <w:t>éventuelle</w:t>
      </w:r>
      <w:proofErr w:type="spellEnd"/>
      <w:r w:rsidRPr="00A93102">
        <w:rPr>
          <w:rFonts w:ascii="TimesNewRomanPSMT" w:hAnsi="TimesNewRomanPSMT" w:cs="TimesNewRomanPSMT"/>
        </w:rPr>
        <w:t xml:space="preserve"> </w:t>
      </w:r>
      <w:proofErr w:type="spellStart"/>
      <w:r w:rsidRPr="00A93102">
        <w:rPr>
          <w:rFonts w:ascii="TimesNewRomanPSMT" w:hAnsi="TimesNewRomanPSMT" w:cs="TimesNewRomanPSMT"/>
        </w:rPr>
        <w:t>responsabilite</w:t>
      </w:r>
      <w:proofErr w:type="spellEnd"/>
      <w:r w:rsidRPr="00A93102">
        <w:rPr>
          <w:rFonts w:ascii="TimesNewRomanPSMT" w:hAnsi="TimesNewRomanPSMT" w:cs="TimesNewRomanPSMT"/>
        </w:rPr>
        <w:t xml:space="preserve">́ de la banque lors de l’encaissement desdits </w:t>
      </w:r>
      <w:proofErr w:type="spellStart"/>
      <w:r w:rsidRPr="00A93102">
        <w:rPr>
          <w:rFonts w:ascii="TimesNewRomanPSMT" w:hAnsi="TimesNewRomanPSMT" w:cs="TimesNewRomanPSMT"/>
        </w:rPr>
        <w:t>chèques</w:t>
      </w:r>
      <w:proofErr w:type="spellEnd"/>
      <w:r w:rsidRPr="00A93102">
        <w:rPr>
          <w:rFonts w:ascii="TimesNewRomanPSMT" w:hAnsi="TimesNewRomanPSMT" w:cs="TimesNewRomanPSMT"/>
        </w:rPr>
        <w:t xml:space="preserve">, et </w:t>
      </w:r>
      <w:proofErr w:type="spellStart"/>
      <w:r w:rsidRPr="00A93102">
        <w:rPr>
          <w:rFonts w:ascii="TimesNewRomanPSMT" w:hAnsi="TimesNewRomanPSMT" w:cs="TimesNewRomanPSMT"/>
        </w:rPr>
        <w:t>proportionnée</w:t>
      </w:r>
      <w:proofErr w:type="spellEnd"/>
      <w:r w:rsidRPr="00A93102">
        <w:rPr>
          <w:rFonts w:ascii="TimesNewRomanPSMT" w:hAnsi="TimesNewRomanPSMT" w:cs="TimesNewRomanPSMT"/>
        </w:rPr>
        <w:t xml:space="preserve"> aux </w:t>
      </w:r>
      <w:proofErr w:type="spellStart"/>
      <w:r w:rsidRPr="00A93102">
        <w:rPr>
          <w:rFonts w:ascii="TimesNewRomanPSMT" w:hAnsi="TimesNewRomanPSMT" w:cs="TimesNewRomanPSMT"/>
        </w:rPr>
        <w:t>intérêts</w:t>
      </w:r>
      <w:proofErr w:type="spellEnd"/>
      <w:r w:rsidRPr="00A93102">
        <w:rPr>
          <w:rFonts w:ascii="TimesNewRomanPSMT" w:hAnsi="TimesNewRomanPSMT" w:cs="TimesNewRomanPSMT"/>
        </w:rPr>
        <w:t xml:space="preserve"> antinomiques en </w:t>
      </w:r>
      <w:proofErr w:type="spellStart"/>
      <w:r w:rsidRPr="00A93102">
        <w:rPr>
          <w:rFonts w:ascii="TimesNewRomanPSMT" w:hAnsi="TimesNewRomanPSMT" w:cs="TimesNewRomanPSMT"/>
        </w:rPr>
        <w:t>présence</w:t>
      </w:r>
      <w:proofErr w:type="spellEnd"/>
      <w:r w:rsidRPr="00A93102">
        <w:rPr>
          <w:rFonts w:ascii="TimesNewRomanPSMT" w:hAnsi="TimesNewRomanPSMT" w:cs="TimesNewRomanPSMT"/>
        </w:rPr>
        <w:t xml:space="preserve">, incluant la protection du secret dû aux </w:t>
      </w:r>
      <w:proofErr w:type="spellStart"/>
      <w:r w:rsidRPr="00A93102">
        <w:rPr>
          <w:rFonts w:ascii="TimesNewRomanPSMT" w:hAnsi="TimesNewRomanPSMT" w:cs="TimesNewRomanPSMT"/>
        </w:rPr>
        <w:t>bénéficiaires</w:t>
      </w:r>
      <w:proofErr w:type="spellEnd"/>
      <w:r w:rsidRPr="00A93102">
        <w:rPr>
          <w:rFonts w:ascii="TimesNewRomanPSMT" w:hAnsi="TimesNewRomanPSMT" w:cs="TimesNewRomanPSMT"/>
        </w:rPr>
        <w:t xml:space="preserve"> de ces </w:t>
      </w:r>
      <w:proofErr w:type="spellStart"/>
      <w:r w:rsidRPr="00A93102">
        <w:rPr>
          <w:rFonts w:ascii="TimesNewRomanPSMT" w:hAnsi="TimesNewRomanPSMT" w:cs="TimesNewRomanPSMT"/>
        </w:rPr>
        <w:t>chèques</w:t>
      </w:r>
      <w:proofErr w:type="spellEnd"/>
      <w:r w:rsidRPr="00A93102">
        <w:rPr>
          <w:rFonts w:ascii="TimesNewRomanPSMT" w:hAnsi="TimesNewRomanPSMT" w:cs="TimesNewRomanPSMT"/>
        </w:rPr>
        <w:t xml:space="preserve">, la cour d’appel a </w:t>
      </w:r>
      <w:proofErr w:type="spellStart"/>
      <w:r w:rsidRPr="00A93102">
        <w:rPr>
          <w:rFonts w:ascii="TimesNewRomanPSMT" w:hAnsi="TimesNewRomanPSMT" w:cs="TimesNewRomanPSMT"/>
        </w:rPr>
        <w:t>prive</w:t>
      </w:r>
      <w:proofErr w:type="spellEnd"/>
      <w:r w:rsidRPr="00A93102">
        <w:rPr>
          <w:rFonts w:ascii="TimesNewRomanPSMT" w:hAnsi="TimesNewRomanPSMT" w:cs="TimesNewRomanPSMT"/>
        </w:rPr>
        <w:t xml:space="preserve">́ sa </w:t>
      </w:r>
      <w:proofErr w:type="spellStart"/>
      <w:r w:rsidRPr="00A93102">
        <w:rPr>
          <w:rFonts w:ascii="TimesNewRomanPSMT" w:hAnsi="TimesNewRomanPSMT" w:cs="TimesNewRomanPSMT"/>
        </w:rPr>
        <w:t>décision</w:t>
      </w:r>
      <w:proofErr w:type="spellEnd"/>
      <w:r w:rsidRPr="00A93102">
        <w:rPr>
          <w:rFonts w:ascii="TimesNewRomanPSMT" w:hAnsi="TimesNewRomanPSMT" w:cs="TimesNewRomanPSMT"/>
        </w:rPr>
        <w:t xml:space="preserve"> de base </w:t>
      </w:r>
      <w:proofErr w:type="spellStart"/>
      <w:r w:rsidRPr="00A93102">
        <w:rPr>
          <w:rFonts w:ascii="TimesNewRomanPSMT" w:hAnsi="TimesNewRomanPSMT" w:cs="TimesNewRomanPSMT"/>
        </w:rPr>
        <w:t>légale</w:t>
      </w:r>
      <w:proofErr w:type="spellEnd"/>
      <w:r w:rsidRPr="00A93102">
        <w:rPr>
          <w:rFonts w:ascii="TimesNewRomanPSMT" w:hAnsi="TimesNewRomanPSMT" w:cs="TimesNewRomanPSMT"/>
        </w:rPr>
        <w:t xml:space="preserve"> ;</w:t>
      </w:r>
    </w:p>
    <w:p w:rsidR="006453BF" w:rsidRPr="00A93102" w:rsidRDefault="006453BF" w:rsidP="006453BF">
      <w:pPr>
        <w:shd w:val="clear" w:color="auto" w:fill="FFFFFF"/>
        <w:jc w:val="both"/>
      </w:pPr>
    </w:p>
    <w:p w:rsidR="006453BF" w:rsidRDefault="006453BF" w:rsidP="006453BF">
      <w:pPr>
        <w:shd w:val="clear" w:color="auto" w:fill="FFFFFF"/>
        <w:jc w:val="both"/>
        <w:rPr>
          <w:rFonts w:ascii="TimesNewRomanPSMT" w:hAnsi="TimesNewRomanPSMT" w:cs="TimesNewRomanPSMT"/>
        </w:rPr>
      </w:pPr>
      <w:r w:rsidRPr="00A93102">
        <w:rPr>
          <w:rFonts w:ascii="TimesNewRomanPSMT" w:hAnsi="TimesNewRomanPSMT" w:cs="TimesNewRomanPSMT"/>
        </w:rPr>
        <w:t xml:space="preserve">PAR CES MOTIFS : </w:t>
      </w:r>
    </w:p>
    <w:p w:rsidR="006453BF" w:rsidRPr="00A93102" w:rsidRDefault="006453BF" w:rsidP="006453BF">
      <w:pPr>
        <w:shd w:val="clear" w:color="auto" w:fill="FFFFFF"/>
        <w:jc w:val="both"/>
      </w:pPr>
    </w:p>
    <w:p w:rsidR="006453BF" w:rsidRPr="00311170" w:rsidRDefault="006453BF" w:rsidP="006453BF">
      <w:pPr>
        <w:shd w:val="clear" w:color="auto" w:fill="FFFFFF"/>
        <w:jc w:val="both"/>
        <w:rPr>
          <w:color w:val="000000" w:themeColor="text1"/>
        </w:rPr>
      </w:pPr>
      <w:r w:rsidRPr="00A93102">
        <w:rPr>
          <w:rFonts w:ascii="TimesNewRomanPSMT" w:hAnsi="TimesNewRomanPSMT" w:cs="TimesNewRomanPSMT"/>
        </w:rPr>
        <w:t xml:space="preserve">CASSE ET ANNULE, mais seulement en ce que, infirmant l’ordonnance, il rejette la demande de communication </w:t>
      </w:r>
      <w:proofErr w:type="spellStart"/>
      <w:r w:rsidRPr="00A93102">
        <w:rPr>
          <w:rFonts w:ascii="TimesNewRomanPSMT" w:hAnsi="TimesNewRomanPSMT" w:cs="TimesNewRomanPSMT"/>
        </w:rPr>
        <w:t>formée</w:t>
      </w:r>
      <w:proofErr w:type="spellEnd"/>
      <w:r w:rsidRPr="00A93102">
        <w:rPr>
          <w:rFonts w:ascii="TimesNewRomanPSMT" w:hAnsi="TimesNewRomanPSMT" w:cs="TimesNewRomanPSMT"/>
        </w:rPr>
        <w:t xml:space="preserve"> par M. et Mme </w:t>
      </w:r>
      <w:proofErr w:type="gramStart"/>
      <w:r w:rsidRPr="00A93102">
        <w:rPr>
          <w:rFonts w:ascii="TimesNewRomanPSMT" w:hAnsi="TimesNewRomanPSMT" w:cs="TimesNewRomanPSMT"/>
        </w:rPr>
        <w:t>R...</w:t>
      </w:r>
      <w:proofErr w:type="gramEnd"/>
      <w:r w:rsidRPr="00A93102">
        <w:rPr>
          <w:rFonts w:ascii="TimesNewRomanPSMT" w:hAnsi="TimesNewRomanPSMT" w:cs="TimesNewRomanPSMT"/>
        </w:rPr>
        <w:t xml:space="preserve"> , l’</w:t>
      </w:r>
      <w:proofErr w:type="spellStart"/>
      <w:r w:rsidRPr="00A93102">
        <w:rPr>
          <w:rFonts w:ascii="TimesNewRomanPSMT" w:hAnsi="TimesNewRomanPSMT" w:cs="TimesNewRomanPSMT"/>
        </w:rPr>
        <w:t>arrêt</w:t>
      </w:r>
      <w:proofErr w:type="spellEnd"/>
      <w:r w:rsidRPr="00A93102">
        <w:rPr>
          <w:rFonts w:ascii="TimesNewRomanPSMT" w:hAnsi="TimesNewRomanPSMT" w:cs="TimesNewRomanPSMT"/>
        </w:rPr>
        <w:t xml:space="preserve"> rendu le 7 septembre 2017, entre les parties, par la cour d’appel de Bordeaux ; remet, en </w:t>
      </w:r>
      <w:proofErr w:type="spellStart"/>
      <w:r w:rsidRPr="00A93102">
        <w:rPr>
          <w:rFonts w:ascii="TimesNewRomanPSMT" w:hAnsi="TimesNewRomanPSMT" w:cs="TimesNewRomanPSMT"/>
        </w:rPr>
        <w:t>conséquence</w:t>
      </w:r>
      <w:proofErr w:type="spellEnd"/>
      <w:r w:rsidRPr="00A93102">
        <w:rPr>
          <w:rFonts w:ascii="TimesNewRomanPSMT" w:hAnsi="TimesNewRomanPSMT" w:cs="TimesNewRomanPSMT"/>
        </w:rPr>
        <w:t>, sur ce point, la cause et les parties dans l’</w:t>
      </w:r>
      <w:proofErr w:type="spellStart"/>
      <w:r w:rsidRPr="00A93102">
        <w:rPr>
          <w:rFonts w:ascii="TimesNewRomanPSMT" w:hAnsi="TimesNewRomanPSMT" w:cs="TimesNewRomanPSMT"/>
        </w:rPr>
        <w:t>état</w:t>
      </w:r>
      <w:proofErr w:type="spellEnd"/>
      <w:r w:rsidRPr="00A93102">
        <w:rPr>
          <w:rFonts w:ascii="TimesNewRomanPSMT" w:hAnsi="TimesNewRomanPSMT" w:cs="TimesNewRomanPSMT"/>
        </w:rPr>
        <w:t xml:space="preserve"> où elles se trouvaient avant ledit </w:t>
      </w:r>
      <w:proofErr w:type="spellStart"/>
      <w:r w:rsidRPr="00A93102">
        <w:rPr>
          <w:rFonts w:ascii="TimesNewRomanPSMT" w:hAnsi="TimesNewRomanPSMT" w:cs="TimesNewRomanPSMT"/>
        </w:rPr>
        <w:t>arrêt</w:t>
      </w:r>
      <w:proofErr w:type="spellEnd"/>
      <w:r w:rsidRPr="00A93102">
        <w:rPr>
          <w:rFonts w:ascii="TimesNewRomanPSMT" w:hAnsi="TimesNewRomanPSMT" w:cs="TimesNewRomanPSMT"/>
        </w:rPr>
        <w:t xml:space="preserve"> et, pour </w:t>
      </w:r>
      <w:proofErr w:type="spellStart"/>
      <w:r w:rsidRPr="00A93102">
        <w:rPr>
          <w:rFonts w:ascii="TimesNewRomanPSMT" w:hAnsi="TimesNewRomanPSMT" w:cs="TimesNewRomanPSMT"/>
        </w:rPr>
        <w:t>être</w:t>
      </w:r>
      <w:proofErr w:type="spellEnd"/>
      <w:r w:rsidRPr="00A93102">
        <w:rPr>
          <w:rFonts w:ascii="TimesNewRomanPSMT" w:hAnsi="TimesNewRomanPSMT" w:cs="TimesNewRomanPSMT"/>
        </w:rPr>
        <w:t xml:space="preserve"> fait droit, les renvoie </w:t>
      </w:r>
      <w:r w:rsidRPr="00311170">
        <w:rPr>
          <w:rFonts w:ascii="TimesNewRomanPSMT" w:hAnsi="TimesNewRomanPSMT" w:cs="TimesNewRomanPSMT"/>
          <w:color w:val="000000" w:themeColor="text1"/>
        </w:rPr>
        <w:t xml:space="preserve">devant la cour d’appel de Poitiers. </w:t>
      </w:r>
    </w:p>
    <w:p w:rsidR="006453BF" w:rsidRPr="00311170" w:rsidRDefault="006453BF" w:rsidP="006453BF">
      <w:pPr>
        <w:jc w:val="both"/>
        <w:rPr>
          <w:b/>
          <w:color w:val="000000" w:themeColor="text1"/>
        </w:rPr>
      </w:pPr>
    </w:p>
    <w:p w:rsidR="006453BF" w:rsidRPr="00311170" w:rsidRDefault="006453BF" w:rsidP="006453BF">
      <w:pPr>
        <w:jc w:val="both"/>
        <w:rPr>
          <w:b/>
          <w:color w:val="000000" w:themeColor="text1"/>
        </w:rPr>
      </w:pPr>
      <w:r w:rsidRPr="00311170">
        <w:rPr>
          <w:b/>
          <w:color w:val="000000" w:themeColor="text1"/>
        </w:rPr>
        <w:t>-Lutte contre le blanchiment d’argent et le financement du terrorisme</w:t>
      </w:r>
    </w:p>
    <w:p w:rsidR="006453BF" w:rsidRPr="00311170" w:rsidRDefault="006453BF" w:rsidP="00311170">
      <w:pPr>
        <w:jc w:val="both"/>
        <w:rPr>
          <w:b/>
          <w:color w:val="000000" w:themeColor="text1"/>
        </w:rPr>
      </w:pPr>
    </w:p>
    <w:p w:rsidR="00311170" w:rsidRPr="00311170" w:rsidRDefault="00311170" w:rsidP="00311170">
      <w:pPr>
        <w:jc w:val="both"/>
        <w:rPr>
          <w:b/>
          <w:color w:val="000000" w:themeColor="text1"/>
        </w:rPr>
      </w:pPr>
      <w:proofErr w:type="spellStart"/>
      <w:r w:rsidRPr="00311170">
        <w:rPr>
          <w:b/>
          <w:color w:val="000000" w:themeColor="text1"/>
        </w:rPr>
        <w:t>Cass</w:t>
      </w:r>
      <w:proofErr w:type="spellEnd"/>
      <w:r w:rsidRPr="00311170">
        <w:rPr>
          <w:b/>
          <w:color w:val="000000" w:themeColor="text1"/>
        </w:rPr>
        <w:t xml:space="preserve">. </w:t>
      </w:r>
      <w:proofErr w:type="spellStart"/>
      <w:proofErr w:type="gramStart"/>
      <w:r w:rsidRPr="00311170">
        <w:rPr>
          <w:b/>
          <w:color w:val="000000" w:themeColor="text1"/>
        </w:rPr>
        <w:t>crim</w:t>
      </w:r>
      <w:proofErr w:type="spellEnd"/>
      <w:proofErr w:type="gramEnd"/>
      <w:r w:rsidRPr="00311170">
        <w:rPr>
          <w:b/>
          <w:color w:val="000000" w:themeColor="text1"/>
        </w:rPr>
        <w:t>., 19 juin 2024, n° 22-81.808</w:t>
      </w:r>
    </w:p>
    <w:p w:rsidR="00311170" w:rsidRPr="00311170" w:rsidRDefault="00311170" w:rsidP="00311170">
      <w:pPr>
        <w:jc w:val="both"/>
        <w:rPr>
          <w:b/>
          <w:color w:val="000000" w:themeColor="text1"/>
        </w:rPr>
      </w:pPr>
    </w:p>
    <w:p w:rsidR="00311170" w:rsidRPr="00311170" w:rsidRDefault="00311170" w:rsidP="00311170">
      <w:pPr>
        <w:jc w:val="both"/>
        <w:rPr>
          <w:color w:val="000000" w:themeColor="text1"/>
        </w:rPr>
      </w:pPr>
      <w:r w:rsidRPr="00311170">
        <w:rPr>
          <w:color w:val="000000" w:themeColor="text1"/>
        </w:rPr>
        <w:t>Faits et procédure</w:t>
      </w:r>
    </w:p>
    <w:p w:rsidR="00311170" w:rsidRPr="00311170" w:rsidRDefault="00311170" w:rsidP="00311170">
      <w:pPr>
        <w:jc w:val="both"/>
        <w:rPr>
          <w:color w:val="000000" w:themeColor="text1"/>
        </w:rPr>
      </w:pPr>
    </w:p>
    <w:p w:rsidR="00311170" w:rsidRPr="00311170" w:rsidRDefault="00311170" w:rsidP="00311170">
      <w:pPr>
        <w:jc w:val="both"/>
        <w:rPr>
          <w:color w:val="000000" w:themeColor="text1"/>
        </w:rPr>
      </w:pPr>
      <w:r w:rsidRPr="00311170">
        <w:rPr>
          <w:color w:val="000000" w:themeColor="text1"/>
        </w:rPr>
        <w:t xml:space="preserve">2. Par un rapport du 25 septembre 2014, [7] a porté à la connaissance du procureur de la République des faits susceptibles de qualifications pénales concernant l'activité du groupe de sociétés [8] dirigé par MM. [SH] et [WW] [CG]. </w:t>
      </w:r>
      <w:proofErr w:type="spellStart"/>
      <w:r w:rsidRPr="00311170">
        <w:rPr>
          <w:color w:val="000000" w:themeColor="text1"/>
        </w:rPr>
        <w:t>Etaient</w:t>
      </w:r>
      <w:proofErr w:type="spellEnd"/>
      <w:r w:rsidRPr="00311170">
        <w:rPr>
          <w:color w:val="000000" w:themeColor="text1"/>
        </w:rPr>
        <w:t xml:space="preserve"> décrits des flux financiers enregistrés sur les comptes des différentes entités composant ce groupe laissant suspecter une escroquerie de type « chaîne de </w:t>
      </w:r>
      <w:proofErr w:type="spellStart"/>
      <w:r w:rsidRPr="00311170">
        <w:rPr>
          <w:color w:val="000000" w:themeColor="text1"/>
        </w:rPr>
        <w:t>Ponzi</w:t>
      </w:r>
      <w:proofErr w:type="spellEnd"/>
      <w:r w:rsidRPr="00311170">
        <w:rPr>
          <w:color w:val="000000" w:themeColor="text1"/>
        </w:rPr>
        <w:t xml:space="preserve"> » qui consiste à inviter des clients à investir dans un projet et à les rémunérer, non avec les fruits du capital investi, mais avec des fonds apportés par de nouveaux arrivants.</w:t>
      </w:r>
    </w:p>
    <w:p w:rsidR="00311170" w:rsidRPr="00311170" w:rsidRDefault="00311170" w:rsidP="00311170">
      <w:pPr>
        <w:jc w:val="both"/>
        <w:rPr>
          <w:color w:val="000000" w:themeColor="text1"/>
        </w:rPr>
      </w:pPr>
    </w:p>
    <w:p w:rsidR="00311170" w:rsidRDefault="00311170" w:rsidP="00311170">
      <w:pPr>
        <w:jc w:val="both"/>
        <w:rPr>
          <w:color w:val="000000" w:themeColor="text1"/>
        </w:rPr>
      </w:pPr>
      <w:r w:rsidRPr="00311170">
        <w:rPr>
          <w:color w:val="000000" w:themeColor="text1"/>
        </w:rPr>
        <w:t>3. A l'issue de l'information judiciaire ouverte sur ces faits, MM. [SH] et [WW] [CG] ont été renvoyés devant le tribunal correctionnel pour y être jugés des chefs d'escroquerie en bande organisée, abus de biens sociaux, abus de confiance, exercice de l'activité de conseil en investissements financiers sans remplir les conditions prévues et blanchiment. </w:t>
      </w:r>
    </w:p>
    <w:p w:rsidR="00311170" w:rsidRDefault="00311170" w:rsidP="00311170">
      <w:pPr>
        <w:jc w:val="both"/>
        <w:rPr>
          <w:color w:val="000000" w:themeColor="text1"/>
        </w:rPr>
      </w:pPr>
    </w:p>
    <w:p w:rsidR="00311170" w:rsidRDefault="00311170" w:rsidP="00311170">
      <w:pPr>
        <w:jc w:val="both"/>
        <w:rPr>
          <w:color w:val="000000" w:themeColor="text1"/>
        </w:rPr>
      </w:pPr>
      <w:r w:rsidRPr="00311170">
        <w:rPr>
          <w:color w:val="000000" w:themeColor="text1"/>
        </w:rPr>
        <w:t>4. La société [2] (la [2]), auprès de laquelle la société [8] détenait un compte bancaire, a été renvoyée devant la même juridiction du chef de blanchiment aggravé, pour avoir apporté son concours à des opérations de placement, de dissimulation ou de conversion du produit direct ou indirect des délits reprochés à MM. [SH] et [WW] [CG], en l'espèce en leur permettant d'effectuer au moyen dudit compte des virements à destination de comptes bancaires étrangers, domiciliés notamment à Hong Kong et en Indonésie, portant sur des sommes conséquentes alors que la banque, en raison de sa qualité de professionnelle et des contrôles qu'elle se devait de faire, ne pouvait ignorer l'origine délictuelle des sommes portées sur ce compte qu'elle gérait, eu égard notamment au mode de fonctionnement de celui-ci et à ses obligations de vigilance et de surveillance renforcée s'agissant de l'Indonésie au titre des articles L. 561-2 et suivants du code monétaire et financier, avec les circonstances que les faits ont été commis de façon habituelle et en utilisant des facilités procurées par l'exercice de l'activité professionnelle de banquier. </w:t>
      </w:r>
    </w:p>
    <w:p w:rsidR="00311170" w:rsidRDefault="00311170" w:rsidP="00311170">
      <w:pPr>
        <w:jc w:val="both"/>
        <w:rPr>
          <w:color w:val="000000" w:themeColor="text1"/>
        </w:rPr>
      </w:pPr>
    </w:p>
    <w:p w:rsidR="00311170" w:rsidRDefault="00311170" w:rsidP="00311170">
      <w:pPr>
        <w:jc w:val="both"/>
        <w:rPr>
          <w:color w:val="000000" w:themeColor="text1"/>
        </w:rPr>
      </w:pPr>
      <w:r w:rsidRPr="00311170">
        <w:rPr>
          <w:color w:val="000000" w:themeColor="text1"/>
        </w:rPr>
        <w:t>5. Par jugement du 26 février 2021, le tribunal correctionnel de Paris a condamné MM. [SH] et [WW] [CG] des chefs susvisés et relaxé la [2]. </w:t>
      </w:r>
    </w:p>
    <w:p w:rsidR="00311170" w:rsidRDefault="00311170" w:rsidP="00311170">
      <w:pPr>
        <w:jc w:val="both"/>
        <w:rPr>
          <w:color w:val="000000" w:themeColor="text1"/>
        </w:rPr>
      </w:pPr>
    </w:p>
    <w:p w:rsidR="00311170" w:rsidRDefault="00311170" w:rsidP="00311170">
      <w:pPr>
        <w:jc w:val="both"/>
        <w:rPr>
          <w:color w:val="000000" w:themeColor="text1"/>
        </w:rPr>
      </w:pPr>
      <w:r w:rsidRPr="00311170">
        <w:rPr>
          <w:color w:val="000000" w:themeColor="text1"/>
        </w:rPr>
        <w:t xml:space="preserve">6. Sur l'action civile, les premiers juges ont reçu certaines constitutions de parties civiles et condamné solidairement MM. [WW] et [SH] [CG] à les indemniser de leur préjudice. Les parties civiles ont été déboutées de leurs demandes à l'égard </w:t>
      </w:r>
      <w:proofErr w:type="gramStart"/>
      <w:r w:rsidRPr="00311170">
        <w:rPr>
          <w:color w:val="000000" w:themeColor="text1"/>
        </w:rPr>
        <w:t>la</w:t>
      </w:r>
      <w:proofErr w:type="gramEnd"/>
      <w:r w:rsidRPr="00311170">
        <w:rPr>
          <w:color w:val="000000" w:themeColor="text1"/>
        </w:rPr>
        <w:t xml:space="preserve"> [2]. </w:t>
      </w:r>
    </w:p>
    <w:p w:rsidR="00311170" w:rsidRDefault="00311170" w:rsidP="00311170">
      <w:pPr>
        <w:jc w:val="both"/>
        <w:rPr>
          <w:color w:val="000000" w:themeColor="text1"/>
        </w:rPr>
      </w:pPr>
    </w:p>
    <w:p w:rsidR="00311170" w:rsidRDefault="00311170" w:rsidP="00311170">
      <w:pPr>
        <w:jc w:val="both"/>
        <w:rPr>
          <w:color w:val="000000" w:themeColor="text1"/>
        </w:rPr>
      </w:pPr>
      <w:r w:rsidRPr="00311170">
        <w:rPr>
          <w:color w:val="000000" w:themeColor="text1"/>
        </w:rPr>
        <w:t>7. MM. [WW] et [SH] [CG], le procureur de la République et plusieurs parties civiles ont interjeté appel du jugement.</w:t>
      </w:r>
    </w:p>
    <w:p w:rsidR="009E1439" w:rsidRDefault="009E1439" w:rsidP="00311170">
      <w:pPr>
        <w:jc w:val="both"/>
        <w:rPr>
          <w:color w:val="000000" w:themeColor="text1"/>
        </w:rPr>
      </w:pPr>
    </w:p>
    <w:p w:rsidR="009E1439" w:rsidRDefault="009E1439" w:rsidP="00311170">
      <w:pPr>
        <w:jc w:val="both"/>
        <w:rPr>
          <w:color w:val="000000" w:themeColor="text1"/>
        </w:rPr>
      </w:pPr>
      <w:r>
        <w:rPr>
          <w:color w:val="000000" w:themeColor="text1"/>
        </w:rPr>
        <w:lastRenderedPageBreak/>
        <w:t>(…)</w:t>
      </w:r>
    </w:p>
    <w:p w:rsidR="009E1439" w:rsidRPr="00311170"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17. Le premier moyen critique l'arrêt attaqué en ce qu'il a déclaré la [2] coupable du chef de blanchiment aggravé pour la période comprise entre juillet 2012 et juillet 2014, alors :</w:t>
      </w:r>
      <w:r w:rsidRPr="00311170">
        <w:rPr>
          <w:color w:val="000000" w:themeColor="text1"/>
        </w:rPr>
        <w:br/>
      </w:r>
      <w:r w:rsidRPr="00311170">
        <w:rPr>
          <w:color w:val="000000" w:themeColor="text1"/>
        </w:rPr>
        <w:br/>
        <w:t>« 1°/ que l'élément matériel du délit de blanchiment est caractérisé par un acte matériel de concours à une opération de placement, de dissimulation ou de conversion du produit direct ou indirect d'un crime ou d'un délit ; que la méconnaissance des obligations professionnelles relatives à la lutte contre le blanchiment, de vigilance et de déclaration, faute de constituer un concours, ne suffit pas à caractériser l'élément matériel du blanchiment ; qu'en se bornant, pour déclarer l'exposante coupable de blanchiment, à relever divers manquements de l'exposante à ses obligations professionnelles en matière de lutte contre le blanchiment, sans constater l'existence d'un acte matériel de concours à une opération de placement, dissimulation ou conversion, la cour d'appel a méconnu l'article 593 du code de procédure pénale ensemble l'article 324-1 du code pénal ;</w:t>
      </w:r>
    </w:p>
    <w:p w:rsidR="009E1439" w:rsidRDefault="009E1439" w:rsidP="00311170">
      <w:pPr>
        <w:jc w:val="both"/>
        <w:rPr>
          <w:color w:val="000000" w:themeColor="text1"/>
        </w:rPr>
      </w:pPr>
    </w:p>
    <w:p w:rsidR="009E1439" w:rsidRDefault="009E1439" w:rsidP="00311170">
      <w:pPr>
        <w:jc w:val="both"/>
        <w:rPr>
          <w:color w:val="000000" w:themeColor="text1"/>
        </w:rPr>
      </w:pPr>
      <w:r>
        <w:rPr>
          <w:color w:val="000000" w:themeColor="text1"/>
        </w:rPr>
        <w:t>(…)</w:t>
      </w:r>
    </w:p>
    <w:p w:rsidR="009E1439" w:rsidRDefault="009E1439" w:rsidP="00311170">
      <w:pPr>
        <w:jc w:val="both"/>
        <w:rPr>
          <w:color w:val="000000" w:themeColor="text1"/>
        </w:rPr>
      </w:pPr>
    </w:p>
    <w:p w:rsidR="00311170" w:rsidRPr="00311170" w:rsidRDefault="00311170" w:rsidP="00311170">
      <w:pPr>
        <w:jc w:val="both"/>
        <w:outlineLvl w:val="2"/>
        <w:rPr>
          <w:color w:val="000000" w:themeColor="text1"/>
        </w:rPr>
      </w:pPr>
      <w:r w:rsidRPr="00311170">
        <w:rPr>
          <w:color w:val="000000" w:themeColor="text1"/>
        </w:rPr>
        <w:t>Motivation</w:t>
      </w:r>
    </w:p>
    <w:p w:rsidR="009E1439" w:rsidRDefault="00311170" w:rsidP="00311170">
      <w:pPr>
        <w:jc w:val="both"/>
        <w:rPr>
          <w:color w:val="000000" w:themeColor="text1"/>
        </w:rPr>
      </w:pPr>
      <w:r w:rsidRPr="00311170">
        <w:rPr>
          <w:color w:val="000000" w:themeColor="text1"/>
        </w:rPr>
        <w:t>Réponse de la Cour</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18. Pour déclarer la [2] coupable de blanchiment aggravé entre juillet 2012 et juillet 2014 et prononcer à son encontre notamment des condamnations civiles, l'arrêt attaqué énonce que l'établissement bancaire a reçu durant plusieurs années des signaux d'alarme pluriels, qu'il détaille, qui auraient dû l'intriguer et l'inquiéter, puis l'amener à faire part de ses soupçons. </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19. Les juges constatent que la gestionnaire du compte a sollicité un grand nombre de justificatifs auprès de M. [WW] [CG], qui ont été mis à disposition des organes de contrôle, notamment le service de lutte anti-blanchiment ([6]), mais que le traitement de ces informations n'a pas été approfondi avec la vigilance attendue, les experts juridiques du [6] n'ayant manifestement pas mis leurs compétences au service d'une analyse des contrats, pourtant suspects.</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20. Ils constatent également que les spécialistes du chiffre n'ont pas effectué des investigations sur le caractère réaliste ou illusoire des taux de rendement promis. </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21. Ils affirment que se contenter de la profession des investisseurs, pour en déduire qu'ils étaient nécessairement éclairés, participe d'un manque de vigilance coupable.</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22. Ils retiennent que, lors de l'audience, le représentant de la banque, interpellé sur ce cloisonnement entre les gestionnaires de clientèle d'une part, et le [6] d'autre part, l'a justifié comme étant un moyen de protection, mais relèvent qu'une analyse partagée d'informations de nature à l'alerter aurait abouti à une articulation plus efficace de la réponse, précisant que, d'une part, la gestionnaire du compte aurait été moins isolée pour mesurer la gravité des agissements de son client, d'autre part, le [6], mieux informé, aurait déployé des moyens d'investigation plus poussés. Ils soulignent qu'il est manifeste que le manque de vigilance ainsi démontré résulte d'une faute collective.</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 xml:space="preserve">23. Ils relèvent également que si la banque insiste sur le fait qu'elle n'a pas les moyens d'investigation des officiers de police judiciaire et qu'elle ne peut s'immiscer dans la vie privée </w:t>
      </w:r>
      <w:r w:rsidRPr="00311170">
        <w:rPr>
          <w:color w:val="000000" w:themeColor="text1"/>
        </w:rPr>
        <w:lastRenderedPageBreak/>
        <w:t>de ses clients ou dans la gestion des entreprises, l'étude minutieuse des documents contractuels remis, et les investigations sur les taux susceptibles d'être pratiqués dans le Sud-Est asiatique entraient dans les pouvoirs de l'établissement sans constituer une atteinte au droit au respect de la vie privée du client et que d'ailleurs, la déclaration de soupçon du 23 juin 2014 visait des informations que la banque détenait depuis plusieurs mois. </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24. Ils indiquent que l'établissement bancaire ne peut se prévaloir des conclusions du contrôle de l'Autorité de contrôle prudentiel et de résolution, pour affirmer qu'aucune faute ne peut lui être reprochée, et que ces conclusions, d'ordre très général, portant sur le dispositif mis en place dans la lutte contre le blanchiment et non pas sur la façon que la banque a eu de gérer le compte de la société [8], ne peuvent donc s'analyser comme un blanc-seing sur ce point. </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25. Ils ajoutent que ces conclusions, qui contiennent quelques réserves, soulignent que des progrès restent à accomplir notamment dans la justification de l'activité professionnelle, du patrimoine et des revenus des clients, et que les outils informatiques sont robustes mais insuffisamment intégrés et assez peu conviviaux. </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26. Ils observent que ces réserves concernent précisément les reproches susvisés dans la gestion du compte intéressant la présente procédure, à savoir un objet social flou de la société [8], évoquant patrimoine et bien-être, l'évocation dans l'objet social de la notion de « Conseil en investissement, gestion patrimoniale » avec des doutes sur la réunion des conditions permettant de dispenser des conseils sous le statut de conseil en investissements financiers, des flux disproportionnés par rapport au chiffre d'affaires et ne pouvant manifestement pas correspondre à des rémunérations de conseiller en investissement et gestion du patrimoine, des alertes informatiques efficaces mais constitutives de contrôles mécaniques non suivies des nécessaires approches humaines, expertes, croisées et distanciées permettant une approche globale du fonctionnement du compte. </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27. La cour d'appel en conclut que des manquements en matière de lutte contre le blanchiment sont démontrés à l'encontre de la [2].</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28. Elle ajoute que la notion de concours apporté aux prévenus suppose la connaissance de l'origine illicite des fonds par la personne morale et que la question qui se pose, alors même que la période de prévention s'étend de janvier 2009 à juillet 2014, est celle de savoir à partir de quelle date l'établissement n'a pas pu ignorer que des flux frauduleux circulaient sur le compte qu'elle gérait.</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 xml:space="preserve">29. Elle relève que l'année 2012 est une année cruciale à plusieurs égards, le score du compte litigieux étant passé en alerte orange à la fin de cette année, les flux en provenance ou à destination de l'Indonésie ayant sensiblement augmenté, le Groupe d'action financière ayant inscrit l'Indonésie sur la liste grise des pays suspects en matière de lutte contre le blanchiment et les rapports d'activité [7] ayant notamment alerté les professionnels du crédit sur les risques liés à l'existence de chaînes de </w:t>
      </w:r>
      <w:proofErr w:type="spellStart"/>
      <w:r w:rsidRPr="00311170">
        <w:rPr>
          <w:color w:val="000000" w:themeColor="text1"/>
        </w:rPr>
        <w:t>Ponzi</w:t>
      </w:r>
      <w:proofErr w:type="spellEnd"/>
      <w:r w:rsidRPr="00311170">
        <w:rPr>
          <w:color w:val="000000" w:themeColor="text1"/>
        </w:rPr>
        <w:t>. </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 xml:space="preserve">30. Elle en déduit que c'est au cours de l'année 2012 que la [2] a pleinement disposé de l'information, sous la forme d'un faisceau d'indices, permettant de caractériser la conscience que l'établissement avait de l'origine frauduleuse des fonds, que c'est donc à partir de ce moment que la banque a manqué à son obligation de vigilance renforcée ainsi qu'à son devoir de procéder à une déclaration de soupçon et que son attitude peut s'analyser comme constituant </w:t>
      </w:r>
      <w:r w:rsidRPr="00311170">
        <w:rPr>
          <w:color w:val="000000" w:themeColor="text1"/>
        </w:rPr>
        <w:lastRenderedPageBreak/>
        <w:t>l'apport, en connaissance de cause, d'un « concours » aux prévenus, la déclaration de soupçon effectuée le 23 juin 2014 étant nécessairement tardive. </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31. En statuant ainsi, la cour d'appel a justifié sa décision pour les motifs qui suivent. </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32. En premier lieu, c'est à tort qu'elle a considéré que le seul manquement de la banque aux obligations de vigilance, imposées par les articles L. 561-5 à L. 561-10-2 du code monétaire et financier, constitue un concours apporté à une opération de blanchiment du produit des infractions commises par son client. </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33. Pour autant, l'arrêt n'encourt pas la censure de ce chef dès lors que la mise à disposition d'un compte bancaire dans l'un de ses établissements et l'exécution d'ordres de virement des sommes y figurant vers des comptes à l'étranger, tels que constatés par l'arrêt, sont susceptibles de caractériser la participation de la banque à des opérations de blanchiment. </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34. En deuxième lieu, les juges, qui, par des motifs relevant de leur appréciation souveraine, ont considéré qu'en l'espèce, au regard des informations dont elle disposait à compter de 2012 concernant le fonctionnement du compte litigieux, la banque ne pouvait ignorer l'origine frauduleuse des fonds figurant sur les comptes de la société [8], ont caractérisé l'élément moral du délit de blanchiment.</w:t>
      </w:r>
    </w:p>
    <w:p w:rsidR="009E1439" w:rsidRDefault="009E1439" w:rsidP="00311170">
      <w:pPr>
        <w:jc w:val="both"/>
        <w:rPr>
          <w:color w:val="000000" w:themeColor="text1"/>
        </w:rPr>
      </w:pPr>
    </w:p>
    <w:p w:rsidR="009E1439" w:rsidRDefault="00311170" w:rsidP="00311170">
      <w:pPr>
        <w:jc w:val="both"/>
        <w:rPr>
          <w:color w:val="000000" w:themeColor="text1"/>
        </w:rPr>
      </w:pPr>
      <w:r w:rsidRPr="00311170">
        <w:rPr>
          <w:color w:val="000000" w:themeColor="text1"/>
        </w:rPr>
        <w:t>35. En troisième lieu, la cour d'appel, qui a constaté que, malgré cette connaissance, la banque et ses représentants n'ont pas fait en temps et en heure les déclarations de soupçon exigées, a, à bon droit, écarté la cause d'irresponsabilité pénale prévue par l'article L. 561-22, IV, du code monétaire et financier, qui instaure une immunité pénale pour les personnes ayant fait de bonne foi la déclaration prévue à l'article L.561-15 du même code. </w:t>
      </w:r>
    </w:p>
    <w:p w:rsidR="009E1439" w:rsidRDefault="009E1439" w:rsidP="00311170">
      <w:pPr>
        <w:jc w:val="both"/>
        <w:rPr>
          <w:color w:val="000000" w:themeColor="text1"/>
        </w:rPr>
      </w:pPr>
    </w:p>
    <w:p w:rsidR="009E1439" w:rsidRDefault="00311170" w:rsidP="009E1439">
      <w:pPr>
        <w:jc w:val="both"/>
        <w:rPr>
          <w:color w:val="000000" w:themeColor="text1"/>
        </w:rPr>
      </w:pPr>
      <w:r w:rsidRPr="00311170">
        <w:rPr>
          <w:color w:val="000000" w:themeColor="text1"/>
        </w:rPr>
        <w:t>36. Ainsi, le moyen doit être écarté.</w:t>
      </w:r>
    </w:p>
    <w:p w:rsidR="009E1439" w:rsidRDefault="009E1439" w:rsidP="009E1439">
      <w:pPr>
        <w:jc w:val="both"/>
        <w:rPr>
          <w:color w:val="000000" w:themeColor="text1"/>
        </w:rPr>
      </w:pPr>
    </w:p>
    <w:p w:rsidR="009E1439" w:rsidRDefault="009E1439" w:rsidP="009E1439">
      <w:pPr>
        <w:jc w:val="both"/>
        <w:rPr>
          <w:color w:val="000000" w:themeColor="text1"/>
        </w:rPr>
      </w:pPr>
      <w:r>
        <w:rPr>
          <w:color w:val="000000" w:themeColor="text1"/>
        </w:rPr>
        <w:t>(…)</w:t>
      </w:r>
    </w:p>
    <w:p w:rsidR="00311170" w:rsidRPr="00311170" w:rsidRDefault="00311170" w:rsidP="00311170">
      <w:pPr>
        <w:jc w:val="both"/>
        <w:rPr>
          <w:b/>
          <w:color w:val="000000" w:themeColor="text1"/>
        </w:rPr>
      </w:pPr>
    </w:p>
    <w:p w:rsidR="00366F3D" w:rsidRPr="00D24C8B" w:rsidRDefault="00366F3D">
      <w:pPr>
        <w:jc w:val="both"/>
        <w:rPr>
          <w:color w:val="000000" w:themeColor="text1"/>
        </w:rPr>
      </w:pPr>
    </w:p>
    <w:sectPr w:rsidR="00366F3D" w:rsidRPr="00D24C8B" w:rsidSect="00B9023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DF1" w:rsidRDefault="00D65DF1" w:rsidP="00366F3D">
      <w:r>
        <w:separator/>
      </w:r>
    </w:p>
  </w:endnote>
  <w:endnote w:type="continuationSeparator" w:id="0">
    <w:p w:rsidR="00D65DF1" w:rsidRDefault="00D65DF1" w:rsidP="0036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DF1" w:rsidRDefault="00D65DF1" w:rsidP="00366F3D">
      <w:r>
        <w:separator/>
      </w:r>
    </w:p>
  </w:footnote>
  <w:footnote w:type="continuationSeparator" w:id="0">
    <w:p w:rsidR="00D65DF1" w:rsidRDefault="00D65DF1" w:rsidP="00366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F7D17"/>
    <w:multiLevelType w:val="multilevel"/>
    <w:tmpl w:val="66E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B1"/>
    <w:rsid w:val="00004E61"/>
    <w:rsid w:val="00045976"/>
    <w:rsid w:val="000B67C6"/>
    <w:rsid w:val="000C0E8B"/>
    <w:rsid w:val="000D353A"/>
    <w:rsid w:val="001611D9"/>
    <w:rsid w:val="001753D8"/>
    <w:rsid w:val="00196B47"/>
    <w:rsid w:val="001A4D90"/>
    <w:rsid w:val="001B484D"/>
    <w:rsid w:val="001F259F"/>
    <w:rsid w:val="00204DBA"/>
    <w:rsid w:val="00250B39"/>
    <w:rsid w:val="0026166F"/>
    <w:rsid w:val="00311170"/>
    <w:rsid w:val="00334035"/>
    <w:rsid w:val="00366F3D"/>
    <w:rsid w:val="0038568F"/>
    <w:rsid w:val="003953B4"/>
    <w:rsid w:val="003E54E2"/>
    <w:rsid w:val="003F4650"/>
    <w:rsid w:val="0042343A"/>
    <w:rsid w:val="00442A42"/>
    <w:rsid w:val="00483E15"/>
    <w:rsid w:val="004941B6"/>
    <w:rsid w:val="004A107D"/>
    <w:rsid w:val="004F2D24"/>
    <w:rsid w:val="0054377C"/>
    <w:rsid w:val="00566EFA"/>
    <w:rsid w:val="00570467"/>
    <w:rsid w:val="00610230"/>
    <w:rsid w:val="006453BF"/>
    <w:rsid w:val="006B48D3"/>
    <w:rsid w:val="006E79ED"/>
    <w:rsid w:val="00713CC7"/>
    <w:rsid w:val="0074470F"/>
    <w:rsid w:val="007517C8"/>
    <w:rsid w:val="00753C06"/>
    <w:rsid w:val="00786DAB"/>
    <w:rsid w:val="007D12FC"/>
    <w:rsid w:val="00811232"/>
    <w:rsid w:val="00820E35"/>
    <w:rsid w:val="0082472D"/>
    <w:rsid w:val="00826422"/>
    <w:rsid w:val="008B6064"/>
    <w:rsid w:val="008D3BF9"/>
    <w:rsid w:val="009032B2"/>
    <w:rsid w:val="00905DA6"/>
    <w:rsid w:val="00914BCA"/>
    <w:rsid w:val="00976CC9"/>
    <w:rsid w:val="00977442"/>
    <w:rsid w:val="00987A97"/>
    <w:rsid w:val="009A5738"/>
    <w:rsid w:val="009E1439"/>
    <w:rsid w:val="009F5DFE"/>
    <w:rsid w:val="00A258F8"/>
    <w:rsid w:val="00A31F92"/>
    <w:rsid w:val="00A41C17"/>
    <w:rsid w:val="00AE598F"/>
    <w:rsid w:val="00B063B2"/>
    <w:rsid w:val="00B12957"/>
    <w:rsid w:val="00B22605"/>
    <w:rsid w:val="00B2318D"/>
    <w:rsid w:val="00B74D11"/>
    <w:rsid w:val="00B8231B"/>
    <w:rsid w:val="00B90231"/>
    <w:rsid w:val="00BB639B"/>
    <w:rsid w:val="00BC0544"/>
    <w:rsid w:val="00C01264"/>
    <w:rsid w:val="00C0629B"/>
    <w:rsid w:val="00C50DD8"/>
    <w:rsid w:val="00C51261"/>
    <w:rsid w:val="00C875C9"/>
    <w:rsid w:val="00C87DEA"/>
    <w:rsid w:val="00C96A8E"/>
    <w:rsid w:val="00CB5F0C"/>
    <w:rsid w:val="00D15AB8"/>
    <w:rsid w:val="00D24C8B"/>
    <w:rsid w:val="00D256FB"/>
    <w:rsid w:val="00D65DF1"/>
    <w:rsid w:val="00D71F4A"/>
    <w:rsid w:val="00D85DB1"/>
    <w:rsid w:val="00D85F90"/>
    <w:rsid w:val="00D928B9"/>
    <w:rsid w:val="00DB3E0E"/>
    <w:rsid w:val="00DC4413"/>
    <w:rsid w:val="00E13FA0"/>
    <w:rsid w:val="00E211A3"/>
    <w:rsid w:val="00E70706"/>
    <w:rsid w:val="00E74AD4"/>
    <w:rsid w:val="00E92382"/>
    <w:rsid w:val="00E929EE"/>
    <w:rsid w:val="00E954D5"/>
    <w:rsid w:val="00EF6C91"/>
    <w:rsid w:val="00F23B4B"/>
    <w:rsid w:val="00F36760"/>
    <w:rsid w:val="00F50017"/>
    <w:rsid w:val="00F71376"/>
    <w:rsid w:val="00F807FF"/>
    <w:rsid w:val="00F915D8"/>
    <w:rsid w:val="00F9685A"/>
    <w:rsid w:val="00FA2BF5"/>
    <w:rsid w:val="00FA5E6A"/>
    <w:rsid w:val="00FB5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9DD39A"/>
  <w14:defaultImageDpi w14:val="32767"/>
  <w15:chartTrackingRefBased/>
  <w15:docId w15:val="{C1169224-2D93-DB4D-8F80-9C4D050B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6CC9"/>
    <w:rPr>
      <w:rFonts w:ascii="Times New Roman" w:eastAsia="Times New Roman" w:hAnsi="Times New Roman" w:cs="Times New Roman"/>
      <w:lang w:eastAsia="fr-FR"/>
    </w:rPr>
  </w:style>
  <w:style w:type="paragraph" w:styleId="Titre1">
    <w:name w:val="heading 1"/>
    <w:basedOn w:val="Normal"/>
    <w:link w:val="Titre1Car"/>
    <w:uiPriority w:val="9"/>
    <w:qFormat/>
    <w:rsid w:val="00D85DB1"/>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D85DB1"/>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D85DB1"/>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5DB1"/>
    <w:pPr>
      <w:spacing w:before="100" w:beforeAutospacing="1" w:after="100" w:afterAutospacing="1"/>
    </w:pPr>
  </w:style>
  <w:style w:type="character" w:styleId="lev">
    <w:name w:val="Strong"/>
    <w:basedOn w:val="Policepardfaut"/>
    <w:uiPriority w:val="22"/>
    <w:qFormat/>
    <w:rsid w:val="00D85DB1"/>
    <w:rPr>
      <w:b/>
      <w:bCs/>
    </w:rPr>
  </w:style>
  <w:style w:type="character" w:customStyle="1" w:styleId="apple-converted-space">
    <w:name w:val="apple-converted-space"/>
    <w:basedOn w:val="Policepardfaut"/>
    <w:rsid w:val="00D85DB1"/>
  </w:style>
  <w:style w:type="paragraph" w:customStyle="1" w:styleId="name-article">
    <w:name w:val="name-article"/>
    <w:basedOn w:val="Normal"/>
    <w:rsid w:val="00D85DB1"/>
    <w:pPr>
      <w:spacing w:before="100" w:beforeAutospacing="1" w:after="100" w:afterAutospacing="1"/>
    </w:pPr>
  </w:style>
  <w:style w:type="character" w:styleId="Lienhypertexte">
    <w:name w:val="Hyperlink"/>
    <w:basedOn w:val="Policepardfaut"/>
    <w:uiPriority w:val="99"/>
    <w:semiHidden/>
    <w:unhideWhenUsed/>
    <w:rsid w:val="00D85DB1"/>
    <w:rPr>
      <w:color w:val="0000FF"/>
      <w:u w:val="single"/>
    </w:rPr>
  </w:style>
  <w:style w:type="paragraph" w:customStyle="1" w:styleId="Date1">
    <w:name w:val="Date1"/>
    <w:basedOn w:val="Normal"/>
    <w:rsid w:val="00D85DB1"/>
    <w:pPr>
      <w:spacing w:before="100" w:beforeAutospacing="1" w:after="100" w:afterAutospacing="1"/>
    </w:pPr>
  </w:style>
  <w:style w:type="character" w:customStyle="1" w:styleId="Titre1Car">
    <w:name w:val="Titre 1 Car"/>
    <w:basedOn w:val="Policepardfaut"/>
    <w:link w:val="Titre1"/>
    <w:uiPriority w:val="9"/>
    <w:rsid w:val="00D85DB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85DB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85DB1"/>
    <w:rPr>
      <w:rFonts w:ascii="Times New Roman" w:eastAsia="Times New Roman" w:hAnsi="Times New Roman" w:cs="Times New Roman"/>
      <w:b/>
      <w:bCs/>
      <w:sz w:val="27"/>
      <w:szCs w:val="27"/>
      <w:lang w:eastAsia="fr-FR"/>
    </w:rPr>
  </w:style>
  <w:style w:type="paragraph" w:customStyle="1" w:styleId="margintopbottom7">
    <w:name w:val="margintopbottom7"/>
    <w:basedOn w:val="Normal"/>
    <w:rsid w:val="00D85DB1"/>
    <w:pPr>
      <w:spacing w:before="100" w:beforeAutospacing="1" w:after="100" w:afterAutospacing="1"/>
    </w:pPr>
  </w:style>
  <w:style w:type="paragraph" w:customStyle="1" w:styleId="margintopbottom14">
    <w:name w:val="margintopbottom14"/>
    <w:basedOn w:val="Normal"/>
    <w:rsid w:val="00D85DB1"/>
    <w:pPr>
      <w:spacing w:before="100" w:beforeAutospacing="1" w:after="100" w:afterAutospacing="1"/>
    </w:pPr>
  </w:style>
  <w:style w:type="character" w:customStyle="1" w:styleId="highlight">
    <w:name w:val="highlight"/>
    <w:basedOn w:val="Policepardfaut"/>
    <w:rsid w:val="00D85DB1"/>
  </w:style>
  <w:style w:type="paragraph" w:styleId="Paragraphedeliste">
    <w:name w:val="List Paragraph"/>
    <w:basedOn w:val="Normal"/>
    <w:uiPriority w:val="34"/>
    <w:qFormat/>
    <w:rsid w:val="0042343A"/>
    <w:pPr>
      <w:ind w:left="720"/>
      <w:contextualSpacing/>
    </w:pPr>
  </w:style>
  <w:style w:type="paragraph" w:customStyle="1" w:styleId="c01pointnumerotealtn">
    <w:name w:val="c01pointnumerotealtn"/>
    <w:basedOn w:val="Normal"/>
    <w:rsid w:val="0042343A"/>
    <w:pPr>
      <w:spacing w:before="100" w:beforeAutospacing="1" w:after="100" w:afterAutospacing="1"/>
    </w:pPr>
  </w:style>
  <w:style w:type="paragraph" w:customStyle="1" w:styleId="c04titre1">
    <w:name w:val="c04titre1"/>
    <w:basedOn w:val="Normal"/>
    <w:rsid w:val="0042343A"/>
    <w:pPr>
      <w:spacing w:before="100" w:beforeAutospacing="1" w:after="100" w:afterAutospacing="1"/>
    </w:pPr>
  </w:style>
  <w:style w:type="paragraph" w:customStyle="1" w:styleId="c05titre2">
    <w:name w:val="c05titre2"/>
    <w:basedOn w:val="Normal"/>
    <w:rsid w:val="0042343A"/>
    <w:pPr>
      <w:spacing w:before="100" w:beforeAutospacing="1" w:after="100" w:afterAutospacing="1"/>
    </w:pPr>
  </w:style>
  <w:style w:type="paragraph" w:customStyle="1" w:styleId="c02alineaalta">
    <w:name w:val="c02alineaalta"/>
    <w:basedOn w:val="Normal"/>
    <w:rsid w:val="0042343A"/>
    <w:pPr>
      <w:spacing w:before="100" w:beforeAutospacing="1" w:after="100" w:afterAutospacing="1"/>
    </w:pPr>
  </w:style>
  <w:style w:type="paragraph" w:customStyle="1" w:styleId="c09marge0avecretrait">
    <w:name w:val="c09marge0avecretrait"/>
    <w:basedOn w:val="Normal"/>
    <w:rsid w:val="0042343A"/>
    <w:pPr>
      <w:spacing w:before="100" w:beforeAutospacing="1" w:after="100" w:afterAutospacing="1"/>
    </w:pPr>
  </w:style>
  <w:style w:type="paragraph" w:customStyle="1" w:styleId="c41dispositifintroduction">
    <w:name w:val="c41dispositifintroduction"/>
    <w:basedOn w:val="Normal"/>
    <w:rsid w:val="0042343A"/>
    <w:pPr>
      <w:spacing w:before="100" w:beforeAutospacing="1" w:after="100" w:afterAutospacing="1"/>
    </w:pPr>
  </w:style>
  <w:style w:type="paragraph" w:customStyle="1" w:styleId="c08dispositif">
    <w:name w:val="c08dispositif"/>
    <w:basedOn w:val="Normal"/>
    <w:rsid w:val="0042343A"/>
    <w:pPr>
      <w:spacing w:before="100" w:beforeAutospacing="1" w:after="100" w:afterAutospacing="1"/>
    </w:pPr>
  </w:style>
  <w:style w:type="paragraph" w:styleId="Textedebulles">
    <w:name w:val="Balloon Text"/>
    <w:basedOn w:val="Normal"/>
    <w:link w:val="TextedebullesCar"/>
    <w:uiPriority w:val="99"/>
    <w:semiHidden/>
    <w:unhideWhenUsed/>
    <w:rsid w:val="006E79ED"/>
    <w:rPr>
      <w:sz w:val="18"/>
      <w:szCs w:val="18"/>
    </w:rPr>
  </w:style>
  <w:style w:type="character" w:customStyle="1" w:styleId="TextedebullesCar">
    <w:name w:val="Texte de bulles Car"/>
    <w:basedOn w:val="Policepardfaut"/>
    <w:link w:val="Textedebulles"/>
    <w:uiPriority w:val="99"/>
    <w:semiHidden/>
    <w:rsid w:val="006E79ED"/>
    <w:rPr>
      <w:rFonts w:ascii="Times New Roman" w:eastAsia="Times New Roman" w:hAnsi="Times New Roman" w:cs="Times New Roman"/>
      <w:sz w:val="18"/>
      <w:szCs w:val="18"/>
      <w:lang w:eastAsia="fr-FR"/>
    </w:rPr>
  </w:style>
  <w:style w:type="paragraph" w:styleId="Retraitcorpsdetexte">
    <w:name w:val="Body Text Indent"/>
    <w:basedOn w:val="Normal"/>
    <w:link w:val="RetraitcorpsdetexteCar"/>
    <w:rsid w:val="00483E15"/>
    <w:pPr>
      <w:ind w:firstLine="567"/>
    </w:pPr>
  </w:style>
  <w:style w:type="character" w:customStyle="1" w:styleId="RetraitcorpsdetexteCar">
    <w:name w:val="Retrait corps de texte Car"/>
    <w:basedOn w:val="Policepardfaut"/>
    <w:link w:val="Retraitcorpsdetexte"/>
    <w:rsid w:val="00483E15"/>
    <w:rPr>
      <w:rFonts w:ascii="Times New Roman" w:eastAsia="Times New Roman" w:hAnsi="Times New Roman" w:cs="Times New Roman"/>
      <w:lang w:eastAsia="fr-FR"/>
    </w:rPr>
  </w:style>
  <w:style w:type="paragraph" w:customStyle="1" w:styleId="h4-like">
    <w:name w:val="h4-like"/>
    <w:basedOn w:val="Normal"/>
    <w:rsid w:val="004941B6"/>
    <w:pPr>
      <w:spacing w:before="100" w:beforeAutospacing="1" w:after="100" w:afterAutospacing="1"/>
    </w:pPr>
  </w:style>
  <w:style w:type="paragraph" w:customStyle="1" w:styleId="tags">
    <w:name w:val="tags"/>
    <w:basedOn w:val="Normal"/>
    <w:rsid w:val="004941B6"/>
    <w:pPr>
      <w:spacing w:before="100" w:beforeAutospacing="1" w:after="100" w:afterAutospacing="1"/>
    </w:pPr>
  </w:style>
  <w:style w:type="paragraph" w:customStyle="1" w:styleId="decision-accordeon--contenu">
    <w:name w:val="decision-accordeon--contenu"/>
    <w:basedOn w:val="Normal"/>
    <w:rsid w:val="004941B6"/>
    <w:pPr>
      <w:spacing w:before="100" w:beforeAutospacing="1" w:after="100" w:afterAutospacing="1"/>
    </w:pPr>
  </w:style>
  <w:style w:type="paragraph" w:customStyle="1" w:styleId="parafact">
    <w:name w:val="parafact"/>
    <w:basedOn w:val="Normal"/>
    <w:rsid w:val="00566EFA"/>
    <w:pPr>
      <w:spacing w:before="100" w:beforeAutospacing="1" w:after="100" w:afterAutospacing="1"/>
    </w:pPr>
  </w:style>
  <w:style w:type="character" w:customStyle="1" w:styleId="selected">
    <w:name w:val="selected"/>
    <w:basedOn w:val="Policepardfaut"/>
    <w:rsid w:val="00566EFA"/>
  </w:style>
  <w:style w:type="character" w:customStyle="1" w:styleId="srvrlnk">
    <w:name w:val="srvrlnk"/>
    <w:basedOn w:val="Policepardfaut"/>
    <w:rsid w:val="00566EFA"/>
  </w:style>
  <w:style w:type="character" w:customStyle="1" w:styleId="link">
    <w:name w:val="link"/>
    <w:basedOn w:val="Policepardfaut"/>
    <w:rsid w:val="00566EFA"/>
  </w:style>
  <w:style w:type="paragraph" w:customStyle="1" w:styleId="paramotif">
    <w:name w:val="paramotif"/>
    <w:basedOn w:val="Normal"/>
    <w:rsid w:val="000C0E8B"/>
    <w:pPr>
      <w:spacing w:before="100" w:beforeAutospacing="1" w:after="100" w:afterAutospacing="1"/>
    </w:pPr>
  </w:style>
  <w:style w:type="paragraph" w:customStyle="1" w:styleId="paraorder">
    <w:name w:val="paraorder"/>
    <w:basedOn w:val="Normal"/>
    <w:rsid w:val="000C0E8B"/>
    <w:pPr>
      <w:spacing w:before="100" w:beforeAutospacing="1" w:after="100" w:afterAutospacing="1"/>
    </w:pPr>
  </w:style>
  <w:style w:type="paragraph" w:styleId="Notedebasdepage">
    <w:name w:val="footnote text"/>
    <w:aliases w:val="Footnote Text Char Char Char Char,Footnote Text Char Char Char,Footnotes,Note de bas de page2,footnote text,Texte de note de bas de page,Note de bas de page Car Car,Texte de note de bas de page ,Note de bas de page Car Car Car Car"/>
    <w:basedOn w:val="Normal"/>
    <w:link w:val="NotedebasdepageCar"/>
    <w:uiPriority w:val="99"/>
    <w:unhideWhenUsed/>
    <w:qFormat/>
    <w:rsid w:val="00366F3D"/>
    <w:rPr>
      <w:sz w:val="20"/>
      <w:szCs w:val="20"/>
    </w:rPr>
  </w:style>
  <w:style w:type="character" w:customStyle="1" w:styleId="NotedebasdepageCar">
    <w:name w:val="Note de bas de page Car"/>
    <w:aliases w:val="Footnote Text Char Char Char Char Car,Footnote Text Char Char Char Car,Footnotes Car,Note de bas de page2 Car,footnote text Car,Texte de note de bas de page Car,Note de bas de page Car Car Car,Texte de note de bas de page  Car"/>
    <w:basedOn w:val="Policepardfaut"/>
    <w:link w:val="Notedebasdepage"/>
    <w:uiPriority w:val="99"/>
    <w:qFormat/>
    <w:rsid w:val="00366F3D"/>
    <w:rPr>
      <w:rFonts w:ascii="Times New Roman" w:eastAsia="Times New Roman" w:hAnsi="Times New Roman" w:cs="Times New Roman"/>
      <w:sz w:val="20"/>
      <w:szCs w:val="20"/>
      <w:lang w:eastAsia="fr-FR"/>
    </w:rPr>
  </w:style>
  <w:style w:type="character" w:styleId="Appelnotedebasdep">
    <w:name w:val="footnote reference"/>
    <w:aliases w:val="Appel note de bas de page,fr,Footnote Reference Number,Footnote Reference_LVL6,Footnote Reference_LVL61,Footnote Reference_LVL62,Footnote Reference_LVL63,Footnote Reference_LVL64,Footnote number,Footnote symbol,o,Ref,BVI fnr,FZ"/>
    <w:basedOn w:val="Policepardfaut"/>
    <w:uiPriority w:val="99"/>
    <w:unhideWhenUsed/>
    <w:qFormat/>
    <w:rsid w:val="00366F3D"/>
    <w:rPr>
      <w:vertAlign w:val="superscript"/>
    </w:rPr>
  </w:style>
  <w:style w:type="character" w:customStyle="1" w:styleId="margintop14">
    <w:name w:val="margintop14"/>
    <w:basedOn w:val="Policepardfaut"/>
    <w:rsid w:val="00366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5013">
      <w:bodyDiv w:val="1"/>
      <w:marLeft w:val="0"/>
      <w:marRight w:val="0"/>
      <w:marTop w:val="0"/>
      <w:marBottom w:val="0"/>
      <w:divBdr>
        <w:top w:val="none" w:sz="0" w:space="0" w:color="auto"/>
        <w:left w:val="none" w:sz="0" w:space="0" w:color="auto"/>
        <w:bottom w:val="none" w:sz="0" w:space="0" w:color="auto"/>
        <w:right w:val="none" w:sz="0" w:space="0" w:color="auto"/>
      </w:divBdr>
    </w:div>
    <w:div w:id="56978145">
      <w:bodyDiv w:val="1"/>
      <w:marLeft w:val="0"/>
      <w:marRight w:val="0"/>
      <w:marTop w:val="0"/>
      <w:marBottom w:val="0"/>
      <w:divBdr>
        <w:top w:val="none" w:sz="0" w:space="0" w:color="auto"/>
        <w:left w:val="none" w:sz="0" w:space="0" w:color="auto"/>
        <w:bottom w:val="none" w:sz="0" w:space="0" w:color="auto"/>
        <w:right w:val="none" w:sz="0" w:space="0" w:color="auto"/>
      </w:divBdr>
    </w:div>
    <w:div w:id="58096706">
      <w:bodyDiv w:val="1"/>
      <w:marLeft w:val="0"/>
      <w:marRight w:val="0"/>
      <w:marTop w:val="0"/>
      <w:marBottom w:val="0"/>
      <w:divBdr>
        <w:top w:val="none" w:sz="0" w:space="0" w:color="auto"/>
        <w:left w:val="none" w:sz="0" w:space="0" w:color="auto"/>
        <w:bottom w:val="none" w:sz="0" w:space="0" w:color="auto"/>
        <w:right w:val="none" w:sz="0" w:space="0" w:color="auto"/>
      </w:divBdr>
    </w:div>
    <w:div w:id="65109420">
      <w:bodyDiv w:val="1"/>
      <w:marLeft w:val="0"/>
      <w:marRight w:val="0"/>
      <w:marTop w:val="0"/>
      <w:marBottom w:val="0"/>
      <w:divBdr>
        <w:top w:val="none" w:sz="0" w:space="0" w:color="auto"/>
        <w:left w:val="none" w:sz="0" w:space="0" w:color="auto"/>
        <w:bottom w:val="none" w:sz="0" w:space="0" w:color="auto"/>
        <w:right w:val="none" w:sz="0" w:space="0" w:color="auto"/>
      </w:divBdr>
    </w:div>
    <w:div w:id="114911290">
      <w:bodyDiv w:val="1"/>
      <w:marLeft w:val="0"/>
      <w:marRight w:val="0"/>
      <w:marTop w:val="0"/>
      <w:marBottom w:val="0"/>
      <w:divBdr>
        <w:top w:val="none" w:sz="0" w:space="0" w:color="auto"/>
        <w:left w:val="none" w:sz="0" w:space="0" w:color="auto"/>
        <w:bottom w:val="none" w:sz="0" w:space="0" w:color="auto"/>
        <w:right w:val="none" w:sz="0" w:space="0" w:color="auto"/>
      </w:divBdr>
    </w:div>
    <w:div w:id="157157961">
      <w:bodyDiv w:val="1"/>
      <w:marLeft w:val="0"/>
      <w:marRight w:val="0"/>
      <w:marTop w:val="0"/>
      <w:marBottom w:val="0"/>
      <w:divBdr>
        <w:top w:val="none" w:sz="0" w:space="0" w:color="auto"/>
        <w:left w:val="none" w:sz="0" w:space="0" w:color="auto"/>
        <w:bottom w:val="none" w:sz="0" w:space="0" w:color="auto"/>
        <w:right w:val="none" w:sz="0" w:space="0" w:color="auto"/>
      </w:divBdr>
    </w:div>
    <w:div w:id="214898238">
      <w:bodyDiv w:val="1"/>
      <w:marLeft w:val="0"/>
      <w:marRight w:val="0"/>
      <w:marTop w:val="0"/>
      <w:marBottom w:val="0"/>
      <w:divBdr>
        <w:top w:val="none" w:sz="0" w:space="0" w:color="auto"/>
        <w:left w:val="none" w:sz="0" w:space="0" w:color="auto"/>
        <w:bottom w:val="none" w:sz="0" w:space="0" w:color="auto"/>
        <w:right w:val="none" w:sz="0" w:space="0" w:color="auto"/>
      </w:divBdr>
      <w:divsChild>
        <w:div w:id="431052632">
          <w:marLeft w:val="0"/>
          <w:marRight w:val="0"/>
          <w:marTop w:val="0"/>
          <w:marBottom w:val="0"/>
          <w:divBdr>
            <w:top w:val="none" w:sz="0" w:space="0" w:color="auto"/>
            <w:left w:val="none" w:sz="0" w:space="0" w:color="auto"/>
            <w:bottom w:val="none" w:sz="0" w:space="0" w:color="auto"/>
            <w:right w:val="none" w:sz="0" w:space="0" w:color="auto"/>
          </w:divBdr>
        </w:div>
        <w:div w:id="1086458361">
          <w:marLeft w:val="0"/>
          <w:marRight w:val="0"/>
          <w:marTop w:val="0"/>
          <w:marBottom w:val="0"/>
          <w:divBdr>
            <w:top w:val="none" w:sz="0" w:space="0" w:color="auto"/>
            <w:left w:val="none" w:sz="0" w:space="0" w:color="auto"/>
            <w:bottom w:val="none" w:sz="0" w:space="0" w:color="auto"/>
            <w:right w:val="none" w:sz="0" w:space="0" w:color="auto"/>
          </w:divBdr>
        </w:div>
        <w:div w:id="705066230">
          <w:marLeft w:val="0"/>
          <w:marRight w:val="0"/>
          <w:marTop w:val="0"/>
          <w:marBottom w:val="0"/>
          <w:divBdr>
            <w:top w:val="none" w:sz="0" w:space="0" w:color="auto"/>
            <w:left w:val="none" w:sz="0" w:space="0" w:color="auto"/>
            <w:bottom w:val="none" w:sz="0" w:space="0" w:color="auto"/>
            <w:right w:val="none" w:sz="0" w:space="0" w:color="auto"/>
          </w:divBdr>
        </w:div>
        <w:div w:id="2111006494">
          <w:marLeft w:val="0"/>
          <w:marRight w:val="0"/>
          <w:marTop w:val="0"/>
          <w:marBottom w:val="0"/>
          <w:divBdr>
            <w:top w:val="none" w:sz="0" w:space="0" w:color="auto"/>
            <w:left w:val="none" w:sz="0" w:space="0" w:color="auto"/>
            <w:bottom w:val="none" w:sz="0" w:space="0" w:color="auto"/>
            <w:right w:val="none" w:sz="0" w:space="0" w:color="auto"/>
          </w:divBdr>
          <w:divsChild>
            <w:div w:id="977219865">
              <w:marLeft w:val="0"/>
              <w:marRight w:val="0"/>
              <w:marTop w:val="0"/>
              <w:marBottom w:val="0"/>
              <w:divBdr>
                <w:top w:val="none" w:sz="0" w:space="0" w:color="auto"/>
                <w:left w:val="none" w:sz="0" w:space="0" w:color="auto"/>
                <w:bottom w:val="none" w:sz="0" w:space="0" w:color="auto"/>
                <w:right w:val="none" w:sz="0" w:space="0" w:color="auto"/>
              </w:divBdr>
            </w:div>
            <w:div w:id="689261756">
              <w:marLeft w:val="0"/>
              <w:marRight w:val="0"/>
              <w:marTop w:val="0"/>
              <w:marBottom w:val="0"/>
              <w:divBdr>
                <w:top w:val="none" w:sz="0" w:space="0" w:color="auto"/>
                <w:left w:val="none" w:sz="0" w:space="0" w:color="auto"/>
                <w:bottom w:val="none" w:sz="0" w:space="0" w:color="auto"/>
                <w:right w:val="none" w:sz="0" w:space="0" w:color="auto"/>
              </w:divBdr>
            </w:div>
            <w:div w:id="1479566751">
              <w:marLeft w:val="0"/>
              <w:marRight w:val="0"/>
              <w:marTop w:val="0"/>
              <w:marBottom w:val="0"/>
              <w:divBdr>
                <w:top w:val="none" w:sz="0" w:space="0" w:color="auto"/>
                <w:left w:val="none" w:sz="0" w:space="0" w:color="auto"/>
                <w:bottom w:val="none" w:sz="0" w:space="0" w:color="auto"/>
                <w:right w:val="none" w:sz="0" w:space="0" w:color="auto"/>
              </w:divBdr>
            </w:div>
            <w:div w:id="640422324">
              <w:marLeft w:val="0"/>
              <w:marRight w:val="0"/>
              <w:marTop w:val="0"/>
              <w:marBottom w:val="0"/>
              <w:divBdr>
                <w:top w:val="none" w:sz="0" w:space="0" w:color="auto"/>
                <w:left w:val="none" w:sz="0" w:space="0" w:color="auto"/>
                <w:bottom w:val="none" w:sz="0" w:space="0" w:color="auto"/>
                <w:right w:val="none" w:sz="0" w:space="0" w:color="auto"/>
              </w:divBdr>
            </w:div>
            <w:div w:id="819619743">
              <w:marLeft w:val="0"/>
              <w:marRight w:val="0"/>
              <w:marTop w:val="0"/>
              <w:marBottom w:val="0"/>
              <w:divBdr>
                <w:top w:val="none" w:sz="0" w:space="0" w:color="auto"/>
                <w:left w:val="none" w:sz="0" w:space="0" w:color="auto"/>
                <w:bottom w:val="none" w:sz="0" w:space="0" w:color="auto"/>
                <w:right w:val="none" w:sz="0" w:space="0" w:color="auto"/>
              </w:divBdr>
            </w:div>
            <w:div w:id="1550845434">
              <w:marLeft w:val="0"/>
              <w:marRight w:val="0"/>
              <w:marTop w:val="0"/>
              <w:marBottom w:val="0"/>
              <w:divBdr>
                <w:top w:val="none" w:sz="0" w:space="0" w:color="auto"/>
                <w:left w:val="none" w:sz="0" w:space="0" w:color="auto"/>
                <w:bottom w:val="none" w:sz="0" w:space="0" w:color="auto"/>
                <w:right w:val="none" w:sz="0" w:space="0" w:color="auto"/>
              </w:divBdr>
            </w:div>
            <w:div w:id="1291133927">
              <w:marLeft w:val="0"/>
              <w:marRight w:val="0"/>
              <w:marTop w:val="0"/>
              <w:marBottom w:val="0"/>
              <w:divBdr>
                <w:top w:val="none" w:sz="0" w:space="0" w:color="auto"/>
                <w:left w:val="none" w:sz="0" w:space="0" w:color="auto"/>
                <w:bottom w:val="none" w:sz="0" w:space="0" w:color="auto"/>
                <w:right w:val="none" w:sz="0" w:space="0" w:color="auto"/>
              </w:divBdr>
            </w:div>
            <w:div w:id="1813474697">
              <w:marLeft w:val="0"/>
              <w:marRight w:val="0"/>
              <w:marTop w:val="0"/>
              <w:marBottom w:val="0"/>
              <w:divBdr>
                <w:top w:val="none" w:sz="0" w:space="0" w:color="auto"/>
                <w:left w:val="none" w:sz="0" w:space="0" w:color="auto"/>
                <w:bottom w:val="none" w:sz="0" w:space="0" w:color="auto"/>
                <w:right w:val="none" w:sz="0" w:space="0" w:color="auto"/>
              </w:divBdr>
            </w:div>
            <w:div w:id="1341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1778">
      <w:bodyDiv w:val="1"/>
      <w:marLeft w:val="0"/>
      <w:marRight w:val="0"/>
      <w:marTop w:val="0"/>
      <w:marBottom w:val="0"/>
      <w:divBdr>
        <w:top w:val="none" w:sz="0" w:space="0" w:color="auto"/>
        <w:left w:val="none" w:sz="0" w:space="0" w:color="auto"/>
        <w:bottom w:val="none" w:sz="0" w:space="0" w:color="auto"/>
        <w:right w:val="none" w:sz="0" w:space="0" w:color="auto"/>
      </w:divBdr>
    </w:div>
    <w:div w:id="220945948">
      <w:bodyDiv w:val="1"/>
      <w:marLeft w:val="0"/>
      <w:marRight w:val="0"/>
      <w:marTop w:val="0"/>
      <w:marBottom w:val="0"/>
      <w:divBdr>
        <w:top w:val="none" w:sz="0" w:space="0" w:color="auto"/>
        <w:left w:val="none" w:sz="0" w:space="0" w:color="auto"/>
        <w:bottom w:val="none" w:sz="0" w:space="0" w:color="auto"/>
        <w:right w:val="none" w:sz="0" w:space="0" w:color="auto"/>
      </w:divBdr>
    </w:div>
    <w:div w:id="266080033">
      <w:bodyDiv w:val="1"/>
      <w:marLeft w:val="0"/>
      <w:marRight w:val="0"/>
      <w:marTop w:val="0"/>
      <w:marBottom w:val="0"/>
      <w:divBdr>
        <w:top w:val="none" w:sz="0" w:space="0" w:color="auto"/>
        <w:left w:val="none" w:sz="0" w:space="0" w:color="auto"/>
        <w:bottom w:val="none" w:sz="0" w:space="0" w:color="auto"/>
        <w:right w:val="none" w:sz="0" w:space="0" w:color="auto"/>
      </w:divBdr>
      <w:divsChild>
        <w:div w:id="1557548812">
          <w:marLeft w:val="0"/>
          <w:marRight w:val="0"/>
          <w:marTop w:val="0"/>
          <w:marBottom w:val="0"/>
          <w:divBdr>
            <w:top w:val="none" w:sz="0" w:space="0" w:color="auto"/>
            <w:left w:val="none" w:sz="0" w:space="0" w:color="auto"/>
            <w:bottom w:val="none" w:sz="0" w:space="0" w:color="auto"/>
            <w:right w:val="none" w:sz="0" w:space="0" w:color="auto"/>
          </w:divBdr>
          <w:divsChild>
            <w:div w:id="1157725689">
              <w:marLeft w:val="0"/>
              <w:marRight w:val="0"/>
              <w:marTop w:val="0"/>
              <w:marBottom w:val="0"/>
              <w:divBdr>
                <w:top w:val="none" w:sz="0" w:space="0" w:color="auto"/>
                <w:left w:val="none" w:sz="0" w:space="0" w:color="auto"/>
                <w:bottom w:val="none" w:sz="0" w:space="0" w:color="auto"/>
                <w:right w:val="none" w:sz="0" w:space="0" w:color="auto"/>
              </w:divBdr>
              <w:divsChild>
                <w:div w:id="2639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56779">
      <w:bodyDiv w:val="1"/>
      <w:marLeft w:val="0"/>
      <w:marRight w:val="0"/>
      <w:marTop w:val="0"/>
      <w:marBottom w:val="0"/>
      <w:divBdr>
        <w:top w:val="none" w:sz="0" w:space="0" w:color="auto"/>
        <w:left w:val="none" w:sz="0" w:space="0" w:color="auto"/>
        <w:bottom w:val="none" w:sz="0" w:space="0" w:color="auto"/>
        <w:right w:val="none" w:sz="0" w:space="0" w:color="auto"/>
      </w:divBdr>
    </w:div>
    <w:div w:id="340010015">
      <w:bodyDiv w:val="1"/>
      <w:marLeft w:val="0"/>
      <w:marRight w:val="0"/>
      <w:marTop w:val="0"/>
      <w:marBottom w:val="0"/>
      <w:divBdr>
        <w:top w:val="none" w:sz="0" w:space="0" w:color="auto"/>
        <w:left w:val="none" w:sz="0" w:space="0" w:color="auto"/>
        <w:bottom w:val="none" w:sz="0" w:space="0" w:color="auto"/>
        <w:right w:val="none" w:sz="0" w:space="0" w:color="auto"/>
      </w:divBdr>
    </w:div>
    <w:div w:id="390662860">
      <w:bodyDiv w:val="1"/>
      <w:marLeft w:val="0"/>
      <w:marRight w:val="0"/>
      <w:marTop w:val="0"/>
      <w:marBottom w:val="0"/>
      <w:divBdr>
        <w:top w:val="none" w:sz="0" w:space="0" w:color="auto"/>
        <w:left w:val="none" w:sz="0" w:space="0" w:color="auto"/>
        <w:bottom w:val="none" w:sz="0" w:space="0" w:color="auto"/>
        <w:right w:val="none" w:sz="0" w:space="0" w:color="auto"/>
      </w:divBdr>
    </w:div>
    <w:div w:id="445660036">
      <w:bodyDiv w:val="1"/>
      <w:marLeft w:val="0"/>
      <w:marRight w:val="0"/>
      <w:marTop w:val="0"/>
      <w:marBottom w:val="0"/>
      <w:divBdr>
        <w:top w:val="none" w:sz="0" w:space="0" w:color="auto"/>
        <w:left w:val="none" w:sz="0" w:space="0" w:color="auto"/>
        <w:bottom w:val="none" w:sz="0" w:space="0" w:color="auto"/>
        <w:right w:val="none" w:sz="0" w:space="0" w:color="auto"/>
      </w:divBdr>
    </w:div>
    <w:div w:id="445780458">
      <w:bodyDiv w:val="1"/>
      <w:marLeft w:val="0"/>
      <w:marRight w:val="0"/>
      <w:marTop w:val="0"/>
      <w:marBottom w:val="0"/>
      <w:divBdr>
        <w:top w:val="none" w:sz="0" w:space="0" w:color="auto"/>
        <w:left w:val="none" w:sz="0" w:space="0" w:color="auto"/>
        <w:bottom w:val="none" w:sz="0" w:space="0" w:color="auto"/>
        <w:right w:val="none" w:sz="0" w:space="0" w:color="auto"/>
      </w:divBdr>
    </w:div>
    <w:div w:id="470633654">
      <w:bodyDiv w:val="1"/>
      <w:marLeft w:val="0"/>
      <w:marRight w:val="0"/>
      <w:marTop w:val="0"/>
      <w:marBottom w:val="0"/>
      <w:divBdr>
        <w:top w:val="none" w:sz="0" w:space="0" w:color="auto"/>
        <w:left w:val="none" w:sz="0" w:space="0" w:color="auto"/>
        <w:bottom w:val="none" w:sz="0" w:space="0" w:color="auto"/>
        <w:right w:val="none" w:sz="0" w:space="0" w:color="auto"/>
      </w:divBdr>
      <w:divsChild>
        <w:div w:id="194391337">
          <w:marLeft w:val="0"/>
          <w:marRight w:val="0"/>
          <w:marTop w:val="0"/>
          <w:marBottom w:val="0"/>
          <w:divBdr>
            <w:top w:val="none" w:sz="0" w:space="0" w:color="auto"/>
            <w:left w:val="none" w:sz="0" w:space="0" w:color="auto"/>
            <w:bottom w:val="none" w:sz="0" w:space="0" w:color="auto"/>
            <w:right w:val="none" w:sz="0" w:space="0" w:color="auto"/>
          </w:divBdr>
          <w:divsChild>
            <w:div w:id="779229453">
              <w:marLeft w:val="0"/>
              <w:marRight w:val="0"/>
              <w:marTop w:val="0"/>
              <w:marBottom w:val="0"/>
              <w:divBdr>
                <w:top w:val="none" w:sz="0" w:space="0" w:color="auto"/>
                <w:left w:val="none" w:sz="0" w:space="0" w:color="auto"/>
                <w:bottom w:val="none" w:sz="0" w:space="0" w:color="auto"/>
                <w:right w:val="none" w:sz="0" w:space="0" w:color="auto"/>
              </w:divBdr>
              <w:divsChild>
                <w:div w:id="203492683">
                  <w:marLeft w:val="0"/>
                  <w:marRight w:val="0"/>
                  <w:marTop w:val="0"/>
                  <w:marBottom w:val="0"/>
                  <w:divBdr>
                    <w:top w:val="none" w:sz="0" w:space="0" w:color="auto"/>
                    <w:left w:val="none" w:sz="0" w:space="0" w:color="auto"/>
                    <w:bottom w:val="none" w:sz="0" w:space="0" w:color="auto"/>
                    <w:right w:val="none" w:sz="0" w:space="0" w:color="auto"/>
                  </w:divBdr>
                  <w:divsChild>
                    <w:div w:id="650865331">
                      <w:marLeft w:val="0"/>
                      <w:marRight w:val="0"/>
                      <w:marTop w:val="0"/>
                      <w:marBottom w:val="0"/>
                      <w:divBdr>
                        <w:top w:val="none" w:sz="0" w:space="0" w:color="auto"/>
                        <w:left w:val="none" w:sz="0" w:space="0" w:color="auto"/>
                        <w:bottom w:val="none" w:sz="0" w:space="0" w:color="auto"/>
                        <w:right w:val="none" w:sz="0" w:space="0" w:color="auto"/>
                      </w:divBdr>
                      <w:divsChild>
                        <w:div w:id="1996565193">
                          <w:marLeft w:val="0"/>
                          <w:marRight w:val="0"/>
                          <w:marTop w:val="0"/>
                          <w:marBottom w:val="0"/>
                          <w:divBdr>
                            <w:top w:val="none" w:sz="0" w:space="0" w:color="auto"/>
                            <w:left w:val="none" w:sz="0" w:space="0" w:color="auto"/>
                            <w:bottom w:val="none" w:sz="0" w:space="0" w:color="auto"/>
                            <w:right w:val="none" w:sz="0" w:space="0" w:color="auto"/>
                          </w:divBdr>
                          <w:divsChild>
                            <w:div w:id="2055040051">
                              <w:marLeft w:val="0"/>
                              <w:marRight w:val="0"/>
                              <w:marTop w:val="0"/>
                              <w:marBottom w:val="0"/>
                              <w:divBdr>
                                <w:top w:val="none" w:sz="0" w:space="0" w:color="auto"/>
                                <w:left w:val="none" w:sz="0" w:space="0" w:color="auto"/>
                                <w:bottom w:val="none" w:sz="0" w:space="0" w:color="auto"/>
                                <w:right w:val="none" w:sz="0" w:space="0" w:color="auto"/>
                              </w:divBdr>
                            </w:div>
                          </w:divsChild>
                        </w:div>
                        <w:div w:id="722022040">
                          <w:marLeft w:val="0"/>
                          <w:marRight w:val="0"/>
                          <w:marTop w:val="0"/>
                          <w:marBottom w:val="0"/>
                          <w:divBdr>
                            <w:top w:val="none" w:sz="0" w:space="0" w:color="auto"/>
                            <w:left w:val="none" w:sz="0" w:space="0" w:color="auto"/>
                            <w:bottom w:val="none" w:sz="0" w:space="0" w:color="auto"/>
                            <w:right w:val="none" w:sz="0" w:space="0" w:color="auto"/>
                          </w:divBdr>
                          <w:divsChild>
                            <w:div w:id="1867479637">
                              <w:marLeft w:val="0"/>
                              <w:marRight w:val="0"/>
                              <w:marTop w:val="0"/>
                              <w:marBottom w:val="0"/>
                              <w:divBdr>
                                <w:top w:val="none" w:sz="0" w:space="0" w:color="auto"/>
                                <w:left w:val="none" w:sz="0" w:space="0" w:color="auto"/>
                                <w:bottom w:val="none" w:sz="0" w:space="0" w:color="auto"/>
                                <w:right w:val="none" w:sz="0" w:space="0" w:color="auto"/>
                              </w:divBdr>
                            </w:div>
                          </w:divsChild>
                        </w:div>
                        <w:div w:id="511261041">
                          <w:marLeft w:val="0"/>
                          <w:marRight w:val="0"/>
                          <w:marTop w:val="0"/>
                          <w:marBottom w:val="0"/>
                          <w:divBdr>
                            <w:top w:val="none" w:sz="0" w:space="0" w:color="auto"/>
                            <w:left w:val="none" w:sz="0" w:space="0" w:color="auto"/>
                            <w:bottom w:val="none" w:sz="0" w:space="0" w:color="auto"/>
                            <w:right w:val="none" w:sz="0" w:space="0" w:color="auto"/>
                          </w:divBdr>
                          <w:divsChild>
                            <w:div w:id="39985008">
                              <w:marLeft w:val="0"/>
                              <w:marRight w:val="0"/>
                              <w:marTop w:val="0"/>
                              <w:marBottom w:val="0"/>
                              <w:divBdr>
                                <w:top w:val="none" w:sz="0" w:space="0" w:color="auto"/>
                                <w:left w:val="none" w:sz="0" w:space="0" w:color="auto"/>
                                <w:bottom w:val="none" w:sz="0" w:space="0" w:color="auto"/>
                                <w:right w:val="none" w:sz="0" w:space="0" w:color="auto"/>
                              </w:divBdr>
                            </w:div>
                          </w:divsChild>
                        </w:div>
                        <w:div w:id="1614511784">
                          <w:marLeft w:val="0"/>
                          <w:marRight w:val="0"/>
                          <w:marTop w:val="0"/>
                          <w:marBottom w:val="0"/>
                          <w:divBdr>
                            <w:top w:val="none" w:sz="0" w:space="0" w:color="auto"/>
                            <w:left w:val="none" w:sz="0" w:space="0" w:color="auto"/>
                            <w:bottom w:val="none" w:sz="0" w:space="0" w:color="auto"/>
                            <w:right w:val="none" w:sz="0" w:space="0" w:color="auto"/>
                          </w:divBdr>
                          <w:divsChild>
                            <w:div w:id="12353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2043">
                  <w:marLeft w:val="0"/>
                  <w:marRight w:val="0"/>
                  <w:marTop w:val="0"/>
                  <w:marBottom w:val="0"/>
                  <w:divBdr>
                    <w:top w:val="none" w:sz="0" w:space="0" w:color="auto"/>
                    <w:left w:val="none" w:sz="0" w:space="0" w:color="auto"/>
                    <w:bottom w:val="none" w:sz="0" w:space="0" w:color="auto"/>
                    <w:right w:val="none" w:sz="0" w:space="0" w:color="auto"/>
                  </w:divBdr>
                  <w:divsChild>
                    <w:div w:id="21058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41">
          <w:marLeft w:val="0"/>
          <w:marRight w:val="0"/>
          <w:marTop w:val="0"/>
          <w:marBottom w:val="0"/>
          <w:divBdr>
            <w:top w:val="none" w:sz="0" w:space="0" w:color="auto"/>
            <w:left w:val="none" w:sz="0" w:space="0" w:color="auto"/>
            <w:bottom w:val="none" w:sz="0" w:space="0" w:color="auto"/>
            <w:right w:val="none" w:sz="0" w:space="0" w:color="auto"/>
          </w:divBdr>
          <w:divsChild>
            <w:div w:id="47193694">
              <w:marLeft w:val="0"/>
              <w:marRight w:val="0"/>
              <w:marTop w:val="0"/>
              <w:marBottom w:val="0"/>
              <w:divBdr>
                <w:top w:val="none" w:sz="0" w:space="0" w:color="auto"/>
                <w:left w:val="none" w:sz="0" w:space="0" w:color="auto"/>
                <w:bottom w:val="none" w:sz="0" w:space="0" w:color="auto"/>
                <w:right w:val="none" w:sz="0" w:space="0" w:color="auto"/>
              </w:divBdr>
              <w:divsChild>
                <w:div w:id="2119907558">
                  <w:marLeft w:val="0"/>
                  <w:marRight w:val="0"/>
                  <w:marTop w:val="0"/>
                  <w:marBottom w:val="0"/>
                  <w:divBdr>
                    <w:top w:val="none" w:sz="0" w:space="0" w:color="auto"/>
                    <w:left w:val="none" w:sz="0" w:space="0" w:color="auto"/>
                    <w:bottom w:val="none" w:sz="0" w:space="0" w:color="auto"/>
                    <w:right w:val="none" w:sz="0" w:space="0" w:color="auto"/>
                  </w:divBdr>
                  <w:divsChild>
                    <w:div w:id="266348053">
                      <w:marLeft w:val="0"/>
                      <w:marRight w:val="0"/>
                      <w:marTop w:val="0"/>
                      <w:marBottom w:val="0"/>
                      <w:divBdr>
                        <w:top w:val="none" w:sz="0" w:space="0" w:color="auto"/>
                        <w:left w:val="none" w:sz="0" w:space="0" w:color="auto"/>
                        <w:bottom w:val="none" w:sz="0" w:space="0" w:color="auto"/>
                        <w:right w:val="none" w:sz="0" w:space="0" w:color="auto"/>
                      </w:divBdr>
                    </w:div>
                  </w:divsChild>
                </w:div>
                <w:div w:id="1864660173">
                  <w:marLeft w:val="0"/>
                  <w:marRight w:val="0"/>
                  <w:marTop w:val="0"/>
                  <w:marBottom w:val="0"/>
                  <w:divBdr>
                    <w:top w:val="none" w:sz="0" w:space="0" w:color="auto"/>
                    <w:left w:val="none" w:sz="0" w:space="0" w:color="auto"/>
                    <w:bottom w:val="none" w:sz="0" w:space="0" w:color="auto"/>
                    <w:right w:val="none" w:sz="0" w:space="0" w:color="auto"/>
                  </w:divBdr>
                  <w:divsChild>
                    <w:div w:id="752973979">
                      <w:marLeft w:val="0"/>
                      <w:marRight w:val="0"/>
                      <w:marTop w:val="0"/>
                      <w:marBottom w:val="0"/>
                      <w:divBdr>
                        <w:top w:val="none" w:sz="0" w:space="0" w:color="auto"/>
                        <w:left w:val="none" w:sz="0" w:space="0" w:color="auto"/>
                        <w:bottom w:val="none" w:sz="0" w:space="0" w:color="auto"/>
                        <w:right w:val="none" w:sz="0" w:space="0" w:color="auto"/>
                      </w:divBdr>
                      <w:divsChild>
                        <w:div w:id="20602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221259">
      <w:bodyDiv w:val="1"/>
      <w:marLeft w:val="0"/>
      <w:marRight w:val="0"/>
      <w:marTop w:val="0"/>
      <w:marBottom w:val="0"/>
      <w:divBdr>
        <w:top w:val="none" w:sz="0" w:space="0" w:color="auto"/>
        <w:left w:val="none" w:sz="0" w:space="0" w:color="auto"/>
        <w:bottom w:val="none" w:sz="0" w:space="0" w:color="auto"/>
        <w:right w:val="none" w:sz="0" w:space="0" w:color="auto"/>
      </w:divBdr>
    </w:div>
    <w:div w:id="481849887">
      <w:bodyDiv w:val="1"/>
      <w:marLeft w:val="0"/>
      <w:marRight w:val="0"/>
      <w:marTop w:val="0"/>
      <w:marBottom w:val="0"/>
      <w:divBdr>
        <w:top w:val="none" w:sz="0" w:space="0" w:color="auto"/>
        <w:left w:val="none" w:sz="0" w:space="0" w:color="auto"/>
        <w:bottom w:val="none" w:sz="0" w:space="0" w:color="auto"/>
        <w:right w:val="none" w:sz="0" w:space="0" w:color="auto"/>
      </w:divBdr>
    </w:div>
    <w:div w:id="491683137">
      <w:bodyDiv w:val="1"/>
      <w:marLeft w:val="0"/>
      <w:marRight w:val="0"/>
      <w:marTop w:val="0"/>
      <w:marBottom w:val="0"/>
      <w:divBdr>
        <w:top w:val="none" w:sz="0" w:space="0" w:color="auto"/>
        <w:left w:val="none" w:sz="0" w:space="0" w:color="auto"/>
        <w:bottom w:val="none" w:sz="0" w:space="0" w:color="auto"/>
        <w:right w:val="none" w:sz="0" w:space="0" w:color="auto"/>
      </w:divBdr>
      <w:divsChild>
        <w:div w:id="1739743415">
          <w:marLeft w:val="0"/>
          <w:marRight w:val="0"/>
          <w:marTop w:val="0"/>
          <w:marBottom w:val="0"/>
          <w:divBdr>
            <w:top w:val="none" w:sz="0" w:space="0" w:color="auto"/>
            <w:left w:val="none" w:sz="0" w:space="0" w:color="auto"/>
            <w:bottom w:val="none" w:sz="0" w:space="0" w:color="auto"/>
            <w:right w:val="none" w:sz="0" w:space="0" w:color="auto"/>
          </w:divBdr>
        </w:div>
        <w:div w:id="2082175602">
          <w:marLeft w:val="0"/>
          <w:marRight w:val="0"/>
          <w:marTop w:val="0"/>
          <w:marBottom w:val="0"/>
          <w:divBdr>
            <w:top w:val="none" w:sz="0" w:space="0" w:color="auto"/>
            <w:left w:val="none" w:sz="0" w:space="0" w:color="auto"/>
            <w:bottom w:val="none" w:sz="0" w:space="0" w:color="auto"/>
            <w:right w:val="none" w:sz="0" w:space="0" w:color="auto"/>
          </w:divBdr>
        </w:div>
      </w:divsChild>
    </w:div>
    <w:div w:id="505363713">
      <w:bodyDiv w:val="1"/>
      <w:marLeft w:val="0"/>
      <w:marRight w:val="0"/>
      <w:marTop w:val="0"/>
      <w:marBottom w:val="0"/>
      <w:divBdr>
        <w:top w:val="none" w:sz="0" w:space="0" w:color="auto"/>
        <w:left w:val="none" w:sz="0" w:space="0" w:color="auto"/>
        <w:bottom w:val="none" w:sz="0" w:space="0" w:color="auto"/>
        <w:right w:val="none" w:sz="0" w:space="0" w:color="auto"/>
      </w:divBdr>
    </w:div>
    <w:div w:id="508757574">
      <w:bodyDiv w:val="1"/>
      <w:marLeft w:val="0"/>
      <w:marRight w:val="0"/>
      <w:marTop w:val="0"/>
      <w:marBottom w:val="0"/>
      <w:divBdr>
        <w:top w:val="none" w:sz="0" w:space="0" w:color="auto"/>
        <w:left w:val="none" w:sz="0" w:space="0" w:color="auto"/>
        <w:bottom w:val="none" w:sz="0" w:space="0" w:color="auto"/>
        <w:right w:val="none" w:sz="0" w:space="0" w:color="auto"/>
      </w:divBdr>
    </w:div>
    <w:div w:id="545333913">
      <w:bodyDiv w:val="1"/>
      <w:marLeft w:val="0"/>
      <w:marRight w:val="0"/>
      <w:marTop w:val="0"/>
      <w:marBottom w:val="0"/>
      <w:divBdr>
        <w:top w:val="none" w:sz="0" w:space="0" w:color="auto"/>
        <w:left w:val="none" w:sz="0" w:space="0" w:color="auto"/>
        <w:bottom w:val="none" w:sz="0" w:space="0" w:color="auto"/>
        <w:right w:val="none" w:sz="0" w:space="0" w:color="auto"/>
      </w:divBdr>
    </w:div>
    <w:div w:id="545874708">
      <w:bodyDiv w:val="1"/>
      <w:marLeft w:val="0"/>
      <w:marRight w:val="0"/>
      <w:marTop w:val="0"/>
      <w:marBottom w:val="0"/>
      <w:divBdr>
        <w:top w:val="none" w:sz="0" w:space="0" w:color="auto"/>
        <w:left w:val="none" w:sz="0" w:space="0" w:color="auto"/>
        <w:bottom w:val="none" w:sz="0" w:space="0" w:color="auto"/>
        <w:right w:val="none" w:sz="0" w:space="0" w:color="auto"/>
      </w:divBdr>
    </w:div>
    <w:div w:id="600726601">
      <w:bodyDiv w:val="1"/>
      <w:marLeft w:val="0"/>
      <w:marRight w:val="0"/>
      <w:marTop w:val="0"/>
      <w:marBottom w:val="0"/>
      <w:divBdr>
        <w:top w:val="none" w:sz="0" w:space="0" w:color="auto"/>
        <w:left w:val="none" w:sz="0" w:space="0" w:color="auto"/>
        <w:bottom w:val="none" w:sz="0" w:space="0" w:color="auto"/>
        <w:right w:val="none" w:sz="0" w:space="0" w:color="auto"/>
      </w:divBdr>
    </w:div>
    <w:div w:id="612051574">
      <w:bodyDiv w:val="1"/>
      <w:marLeft w:val="0"/>
      <w:marRight w:val="0"/>
      <w:marTop w:val="0"/>
      <w:marBottom w:val="0"/>
      <w:divBdr>
        <w:top w:val="none" w:sz="0" w:space="0" w:color="auto"/>
        <w:left w:val="none" w:sz="0" w:space="0" w:color="auto"/>
        <w:bottom w:val="none" w:sz="0" w:space="0" w:color="auto"/>
        <w:right w:val="none" w:sz="0" w:space="0" w:color="auto"/>
      </w:divBdr>
    </w:div>
    <w:div w:id="649991057">
      <w:bodyDiv w:val="1"/>
      <w:marLeft w:val="0"/>
      <w:marRight w:val="0"/>
      <w:marTop w:val="0"/>
      <w:marBottom w:val="0"/>
      <w:divBdr>
        <w:top w:val="none" w:sz="0" w:space="0" w:color="auto"/>
        <w:left w:val="none" w:sz="0" w:space="0" w:color="auto"/>
        <w:bottom w:val="none" w:sz="0" w:space="0" w:color="auto"/>
        <w:right w:val="none" w:sz="0" w:space="0" w:color="auto"/>
      </w:divBdr>
      <w:divsChild>
        <w:div w:id="1908372070">
          <w:marLeft w:val="0"/>
          <w:marRight w:val="0"/>
          <w:marTop w:val="0"/>
          <w:marBottom w:val="0"/>
          <w:divBdr>
            <w:top w:val="none" w:sz="0" w:space="0" w:color="auto"/>
            <w:left w:val="none" w:sz="0" w:space="0" w:color="auto"/>
            <w:bottom w:val="none" w:sz="0" w:space="0" w:color="auto"/>
            <w:right w:val="none" w:sz="0" w:space="0" w:color="auto"/>
          </w:divBdr>
        </w:div>
        <w:div w:id="1263100489">
          <w:marLeft w:val="0"/>
          <w:marRight w:val="0"/>
          <w:marTop w:val="0"/>
          <w:marBottom w:val="0"/>
          <w:divBdr>
            <w:top w:val="none" w:sz="0" w:space="0" w:color="auto"/>
            <w:left w:val="none" w:sz="0" w:space="0" w:color="auto"/>
            <w:bottom w:val="none" w:sz="0" w:space="0" w:color="auto"/>
            <w:right w:val="none" w:sz="0" w:space="0" w:color="auto"/>
          </w:divBdr>
        </w:div>
        <w:div w:id="768546060">
          <w:marLeft w:val="0"/>
          <w:marRight w:val="0"/>
          <w:marTop w:val="0"/>
          <w:marBottom w:val="0"/>
          <w:divBdr>
            <w:top w:val="none" w:sz="0" w:space="0" w:color="auto"/>
            <w:left w:val="none" w:sz="0" w:space="0" w:color="auto"/>
            <w:bottom w:val="none" w:sz="0" w:space="0" w:color="auto"/>
            <w:right w:val="none" w:sz="0" w:space="0" w:color="auto"/>
          </w:divBdr>
        </w:div>
        <w:div w:id="53044971">
          <w:marLeft w:val="0"/>
          <w:marRight w:val="0"/>
          <w:marTop w:val="0"/>
          <w:marBottom w:val="0"/>
          <w:divBdr>
            <w:top w:val="none" w:sz="0" w:space="0" w:color="auto"/>
            <w:left w:val="none" w:sz="0" w:space="0" w:color="auto"/>
            <w:bottom w:val="none" w:sz="0" w:space="0" w:color="auto"/>
            <w:right w:val="none" w:sz="0" w:space="0" w:color="auto"/>
          </w:divBdr>
        </w:div>
        <w:div w:id="1622109798">
          <w:marLeft w:val="0"/>
          <w:marRight w:val="0"/>
          <w:marTop w:val="0"/>
          <w:marBottom w:val="0"/>
          <w:divBdr>
            <w:top w:val="none" w:sz="0" w:space="0" w:color="auto"/>
            <w:left w:val="none" w:sz="0" w:space="0" w:color="auto"/>
            <w:bottom w:val="none" w:sz="0" w:space="0" w:color="auto"/>
            <w:right w:val="none" w:sz="0" w:space="0" w:color="auto"/>
          </w:divBdr>
        </w:div>
        <w:div w:id="1889292866">
          <w:marLeft w:val="0"/>
          <w:marRight w:val="0"/>
          <w:marTop w:val="0"/>
          <w:marBottom w:val="0"/>
          <w:divBdr>
            <w:top w:val="none" w:sz="0" w:space="0" w:color="auto"/>
            <w:left w:val="none" w:sz="0" w:space="0" w:color="auto"/>
            <w:bottom w:val="none" w:sz="0" w:space="0" w:color="auto"/>
            <w:right w:val="none" w:sz="0" w:space="0" w:color="auto"/>
          </w:divBdr>
        </w:div>
        <w:div w:id="1495685439">
          <w:marLeft w:val="0"/>
          <w:marRight w:val="0"/>
          <w:marTop w:val="0"/>
          <w:marBottom w:val="0"/>
          <w:divBdr>
            <w:top w:val="none" w:sz="0" w:space="0" w:color="auto"/>
            <w:left w:val="none" w:sz="0" w:space="0" w:color="auto"/>
            <w:bottom w:val="none" w:sz="0" w:space="0" w:color="auto"/>
            <w:right w:val="none" w:sz="0" w:space="0" w:color="auto"/>
          </w:divBdr>
        </w:div>
        <w:div w:id="1586458984">
          <w:marLeft w:val="0"/>
          <w:marRight w:val="0"/>
          <w:marTop w:val="0"/>
          <w:marBottom w:val="0"/>
          <w:divBdr>
            <w:top w:val="none" w:sz="0" w:space="0" w:color="auto"/>
            <w:left w:val="none" w:sz="0" w:space="0" w:color="auto"/>
            <w:bottom w:val="none" w:sz="0" w:space="0" w:color="auto"/>
            <w:right w:val="none" w:sz="0" w:space="0" w:color="auto"/>
          </w:divBdr>
        </w:div>
        <w:div w:id="1363168536">
          <w:marLeft w:val="0"/>
          <w:marRight w:val="0"/>
          <w:marTop w:val="0"/>
          <w:marBottom w:val="0"/>
          <w:divBdr>
            <w:top w:val="none" w:sz="0" w:space="0" w:color="auto"/>
            <w:left w:val="none" w:sz="0" w:space="0" w:color="auto"/>
            <w:bottom w:val="none" w:sz="0" w:space="0" w:color="auto"/>
            <w:right w:val="none" w:sz="0" w:space="0" w:color="auto"/>
          </w:divBdr>
        </w:div>
        <w:div w:id="834876878">
          <w:marLeft w:val="0"/>
          <w:marRight w:val="0"/>
          <w:marTop w:val="0"/>
          <w:marBottom w:val="0"/>
          <w:divBdr>
            <w:top w:val="none" w:sz="0" w:space="0" w:color="auto"/>
            <w:left w:val="none" w:sz="0" w:space="0" w:color="auto"/>
            <w:bottom w:val="none" w:sz="0" w:space="0" w:color="auto"/>
            <w:right w:val="none" w:sz="0" w:space="0" w:color="auto"/>
          </w:divBdr>
        </w:div>
      </w:divsChild>
    </w:div>
    <w:div w:id="674653170">
      <w:bodyDiv w:val="1"/>
      <w:marLeft w:val="0"/>
      <w:marRight w:val="0"/>
      <w:marTop w:val="0"/>
      <w:marBottom w:val="0"/>
      <w:divBdr>
        <w:top w:val="none" w:sz="0" w:space="0" w:color="auto"/>
        <w:left w:val="none" w:sz="0" w:space="0" w:color="auto"/>
        <w:bottom w:val="none" w:sz="0" w:space="0" w:color="auto"/>
        <w:right w:val="none" w:sz="0" w:space="0" w:color="auto"/>
      </w:divBdr>
    </w:div>
    <w:div w:id="720246198">
      <w:bodyDiv w:val="1"/>
      <w:marLeft w:val="0"/>
      <w:marRight w:val="0"/>
      <w:marTop w:val="0"/>
      <w:marBottom w:val="0"/>
      <w:divBdr>
        <w:top w:val="none" w:sz="0" w:space="0" w:color="auto"/>
        <w:left w:val="none" w:sz="0" w:space="0" w:color="auto"/>
        <w:bottom w:val="none" w:sz="0" w:space="0" w:color="auto"/>
        <w:right w:val="none" w:sz="0" w:space="0" w:color="auto"/>
      </w:divBdr>
      <w:divsChild>
        <w:div w:id="573390662">
          <w:marLeft w:val="0"/>
          <w:marRight w:val="0"/>
          <w:marTop w:val="0"/>
          <w:marBottom w:val="0"/>
          <w:divBdr>
            <w:top w:val="none" w:sz="0" w:space="0" w:color="auto"/>
            <w:left w:val="none" w:sz="0" w:space="0" w:color="auto"/>
            <w:bottom w:val="none" w:sz="0" w:space="0" w:color="auto"/>
            <w:right w:val="none" w:sz="0" w:space="0" w:color="auto"/>
          </w:divBdr>
          <w:divsChild>
            <w:div w:id="2087720692">
              <w:marLeft w:val="0"/>
              <w:marRight w:val="0"/>
              <w:marTop w:val="0"/>
              <w:marBottom w:val="0"/>
              <w:divBdr>
                <w:top w:val="none" w:sz="0" w:space="0" w:color="auto"/>
                <w:left w:val="none" w:sz="0" w:space="0" w:color="auto"/>
                <w:bottom w:val="none" w:sz="0" w:space="0" w:color="auto"/>
                <w:right w:val="none" w:sz="0" w:space="0" w:color="auto"/>
              </w:divBdr>
            </w:div>
          </w:divsChild>
        </w:div>
        <w:div w:id="475882647">
          <w:marLeft w:val="0"/>
          <w:marRight w:val="0"/>
          <w:marTop w:val="0"/>
          <w:marBottom w:val="0"/>
          <w:divBdr>
            <w:top w:val="none" w:sz="0" w:space="0" w:color="auto"/>
            <w:left w:val="none" w:sz="0" w:space="0" w:color="auto"/>
            <w:bottom w:val="none" w:sz="0" w:space="0" w:color="auto"/>
            <w:right w:val="none" w:sz="0" w:space="0" w:color="auto"/>
          </w:divBdr>
          <w:divsChild>
            <w:div w:id="675348547">
              <w:marLeft w:val="0"/>
              <w:marRight w:val="0"/>
              <w:marTop w:val="0"/>
              <w:marBottom w:val="0"/>
              <w:divBdr>
                <w:top w:val="none" w:sz="0" w:space="0" w:color="auto"/>
                <w:left w:val="none" w:sz="0" w:space="0" w:color="auto"/>
                <w:bottom w:val="none" w:sz="0" w:space="0" w:color="auto"/>
                <w:right w:val="none" w:sz="0" w:space="0" w:color="auto"/>
              </w:divBdr>
              <w:divsChild>
                <w:div w:id="494801302">
                  <w:marLeft w:val="0"/>
                  <w:marRight w:val="0"/>
                  <w:marTop w:val="0"/>
                  <w:marBottom w:val="0"/>
                  <w:divBdr>
                    <w:top w:val="none" w:sz="0" w:space="0" w:color="auto"/>
                    <w:left w:val="none" w:sz="0" w:space="0" w:color="auto"/>
                    <w:bottom w:val="none" w:sz="0" w:space="0" w:color="auto"/>
                    <w:right w:val="none" w:sz="0" w:space="0" w:color="auto"/>
                  </w:divBdr>
                  <w:divsChild>
                    <w:div w:id="2025747385">
                      <w:marLeft w:val="0"/>
                      <w:marRight w:val="0"/>
                      <w:marTop w:val="0"/>
                      <w:marBottom w:val="0"/>
                      <w:divBdr>
                        <w:top w:val="none" w:sz="0" w:space="0" w:color="auto"/>
                        <w:left w:val="none" w:sz="0" w:space="0" w:color="auto"/>
                        <w:bottom w:val="none" w:sz="0" w:space="0" w:color="auto"/>
                        <w:right w:val="none" w:sz="0" w:space="0" w:color="auto"/>
                      </w:divBdr>
                      <w:divsChild>
                        <w:div w:id="2132967296">
                          <w:marLeft w:val="0"/>
                          <w:marRight w:val="0"/>
                          <w:marTop w:val="0"/>
                          <w:marBottom w:val="0"/>
                          <w:divBdr>
                            <w:top w:val="none" w:sz="0" w:space="0" w:color="auto"/>
                            <w:left w:val="none" w:sz="0" w:space="0" w:color="auto"/>
                            <w:bottom w:val="none" w:sz="0" w:space="0" w:color="auto"/>
                            <w:right w:val="none" w:sz="0" w:space="0" w:color="auto"/>
                          </w:divBdr>
                          <w:divsChild>
                            <w:div w:id="420760791">
                              <w:marLeft w:val="0"/>
                              <w:marRight w:val="0"/>
                              <w:marTop w:val="0"/>
                              <w:marBottom w:val="0"/>
                              <w:divBdr>
                                <w:top w:val="none" w:sz="0" w:space="0" w:color="auto"/>
                                <w:left w:val="none" w:sz="0" w:space="0" w:color="auto"/>
                                <w:bottom w:val="none" w:sz="0" w:space="0" w:color="auto"/>
                                <w:right w:val="none" w:sz="0" w:space="0" w:color="auto"/>
                              </w:divBdr>
                              <w:divsChild>
                                <w:div w:id="339695566">
                                  <w:marLeft w:val="0"/>
                                  <w:marRight w:val="0"/>
                                  <w:marTop w:val="0"/>
                                  <w:marBottom w:val="0"/>
                                  <w:divBdr>
                                    <w:top w:val="none" w:sz="0" w:space="0" w:color="auto"/>
                                    <w:left w:val="none" w:sz="0" w:space="0" w:color="auto"/>
                                    <w:bottom w:val="none" w:sz="0" w:space="0" w:color="auto"/>
                                    <w:right w:val="none" w:sz="0" w:space="0" w:color="auto"/>
                                  </w:divBdr>
                                  <w:divsChild>
                                    <w:div w:id="21708795">
                                      <w:marLeft w:val="0"/>
                                      <w:marRight w:val="0"/>
                                      <w:marTop w:val="0"/>
                                      <w:marBottom w:val="0"/>
                                      <w:divBdr>
                                        <w:top w:val="none" w:sz="0" w:space="0" w:color="auto"/>
                                        <w:left w:val="none" w:sz="0" w:space="0" w:color="auto"/>
                                        <w:bottom w:val="none" w:sz="0" w:space="0" w:color="auto"/>
                                        <w:right w:val="none" w:sz="0" w:space="0" w:color="auto"/>
                                      </w:divBdr>
                                      <w:divsChild>
                                        <w:div w:id="177433619">
                                          <w:marLeft w:val="0"/>
                                          <w:marRight w:val="0"/>
                                          <w:marTop w:val="0"/>
                                          <w:marBottom w:val="0"/>
                                          <w:divBdr>
                                            <w:top w:val="none" w:sz="0" w:space="0" w:color="auto"/>
                                            <w:left w:val="none" w:sz="0" w:space="0" w:color="auto"/>
                                            <w:bottom w:val="none" w:sz="0" w:space="0" w:color="auto"/>
                                            <w:right w:val="none" w:sz="0" w:space="0" w:color="auto"/>
                                          </w:divBdr>
                                        </w:div>
                                        <w:div w:id="1663779884">
                                          <w:marLeft w:val="0"/>
                                          <w:marRight w:val="0"/>
                                          <w:marTop w:val="0"/>
                                          <w:marBottom w:val="0"/>
                                          <w:divBdr>
                                            <w:top w:val="none" w:sz="0" w:space="0" w:color="auto"/>
                                            <w:left w:val="none" w:sz="0" w:space="0" w:color="auto"/>
                                            <w:bottom w:val="none" w:sz="0" w:space="0" w:color="auto"/>
                                            <w:right w:val="none" w:sz="0" w:space="0" w:color="auto"/>
                                          </w:divBdr>
                                          <w:divsChild>
                                            <w:div w:id="1341394867">
                                              <w:marLeft w:val="0"/>
                                              <w:marRight w:val="0"/>
                                              <w:marTop w:val="0"/>
                                              <w:marBottom w:val="0"/>
                                              <w:divBdr>
                                                <w:top w:val="none" w:sz="0" w:space="0" w:color="auto"/>
                                                <w:left w:val="none" w:sz="0" w:space="0" w:color="auto"/>
                                                <w:bottom w:val="none" w:sz="0" w:space="0" w:color="auto"/>
                                                <w:right w:val="none" w:sz="0" w:space="0" w:color="auto"/>
                                              </w:divBdr>
                                            </w:div>
                                          </w:divsChild>
                                        </w:div>
                                        <w:div w:id="543450242">
                                          <w:marLeft w:val="0"/>
                                          <w:marRight w:val="0"/>
                                          <w:marTop w:val="0"/>
                                          <w:marBottom w:val="0"/>
                                          <w:divBdr>
                                            <w:top w:val="none" w:sz="0" w:space="0" w:color="auto"/>
                                            <w:left w:val="none" w:sz="0" w:space="0" w:color="auto"/>
                                            <w:bottom w:val="none" w:sz="0" w:space="0" w:color="auto"/>
                                            <w:right w:val="none" w:sz="0" w:space="0" w:color="auto"/>
                                          </w:divBdr>
                                          <w:divsChild>
                                            <w:div w:id="20043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178046">
      <w:bodyDiv w:val="1"/>
      <w:marLeft w:val="0"/>
      <w:marRight w:val="0"/>
      <w:marTop w:val="0"/>
      <w:marBottom w:val="0"/>
      <w:divBdr>
        <w:top w:val="none" w:sz="0" w:space="0" w:color="auto"/>
        <w:left w:val="none" w:sz="0" w:space="0" w:color="auto"/>
        <w:bottom w:val="none" w:sz="0" w:space="0" w:color="auto"/>
        <w:right w:val="none" w:sz="0" w:space="0" w:color="auto"/>
      </w:divBdr>
    </w:div>
    <w:div w:id="762840076">
      <w:bodyDiv w:val="1"/>
      <w:marLeft w:val="0"/>
      <w:marRight w:val="0"/>
      <w:marTop w:val="0"/>
      <w:marBottom w:val="0"/>
      <w:divBdr>
        <w:top w:val="none" w:sz="0" w:space="0" w:color="auto"/>
        <w:left w:val="none" w:sz="0" w:space="0" w:color="auto"/>
        <w:bottom w:val="none" w:sz="0" w:space="0" w:color="auto"/>
        <w:right w:val="none" w:sz="0" w:space="0" w:color="auto"/>
      </w:divBdr>
    </w:div>
    <w:div w:id="789011696">
      <w:bodyDiv w:val="1"/>
      <w:marLeft w:val="0"/>
      <w:marRight w:val="0"/>
      <w:marTop w:val="0"/>
      <w:marBottom w:val="0"/>
      <w:divBdr>
        <w:top w:val="none" w:sz="0" w:space="0" w:color="auto"/>
        <w:left w:val="none" w:sz="0" w:space="0" w:color="auto"/>
        <w:bottom w:val="none" w:sz="0" w:space="0" w:color="auto"/>
        <w:right w:val="none" w:sz="0" w:space="0" w:color="auto"/>
      </w:divBdr>
      <w:divsChild>
        <w:div w:id="714233650">
          <w:marLeft w:val="0"/>
          <w:marRight w:val="0"/>
          <w:marTop w:val="0"/>
          <w:marBottom w:val="0"/>
          <w:divBdr>
            <w:top w:val="none" w:sz="0" w:space="0" w:color="auto"/>
            <w:left w:val="none" w:sz="0" w:space="0" w:color="auto"/>
            <w:bottom w:val="none" w:sz="0" w:space="0" w:color="auto"/>
            <w:right w:val="none" w:sz="0" w:space="0" w:color="auto"/>
          </w:divBdr>
        </w:div>
        <w:div w:id="941571414">
          <w:marLeft w:val="0"/>
          <w:marRight w:val="0"/>
          <w:marTop w:val="0"/>
          <w:marBottom w:val="0"/>
          <w:divBdr>
            <w:top w:val="none" w:sz="0" w:space="0" w:color="auto"/>
            <w:left w:val="none" w:sz="0" w:space="0" w:color="auto"/>
            <w:bottom w:val="none" w:sz="0" w:space="0" w:color="auto"/>
            <w:right w:val="none" w:sz="0" w:space="0" w:color="auto"/>
          </w:divBdr>
        </w:div>
        <w:div w:id="708648411">
          <w:marLeft w:val="0"/>
          <w:marRight w:val="0"/>
          <w:marTop w:val="0"/>
          <w:marBottom w:val="0"/>
          <w:divBdr>
            <w:top w:val="none" w:sz="0" w:space="0" w:color="auto"/>
            <w:left w:val="none" w:sz="0" w:space="0" w:color="auto"/>
            <w:bottom w:val="none" w:sz="0" w:space="0" w:color="auto"/>
            <w:right w:val="none" w:sz="0" w:space="0" w:color="auto"/>
          </w:divBdr>
        </w:div>
        <w:div w:id="1843544472">
          <w:marLeft w:val="0"/>
          <w:marRight w:val="0"/>
          <w:marTop w:val="0"/>
          <w:marBottom w:val="0"/>
          <w:divBdr>
            <w:top w:val="none" w:sz="0" w:space="0" w:color="auto"/>
            <w:left w:val="none" w:sz="0" w:space="0" w:color="auto"/>
            <w:bottom w:val="none" w:sz="0" w:space="0" w:color="auto"/>
            <w:right w:val="none" w:sz="0" w:space="0" w:color="auto"/>
          </w:divBdr>
        </w:div>
        <w:div w:id="66348728">
          <w:marLeft w:val="0"/>
          <w:marRight w:val="0"/>
          <w:marTop w:val="0"/>
          <w:marBottom w:val="0"/>
          <w:divBdr>
            <w:top w:val="none" w:sz="0" w:space="0" w:color="auto"/>
            <w:left w:val="none" w:sz="0" w:space="0" w:color="auto"/>
            <w:bottom w:val="none" w:sz="0" w:space="0" w:color="auto"/>
            <w:right w:val="none" w:sz="0" w:space="0" w:color="auto"/>
          </w:divBdr>
        </w:div>
        <w:div w:id="1502623274">
          <w:marLeft w:val="0"/>
          <w:marRight w:val="0"/>
          <w:marTop w:val="0"/>
          <w:marBottom w:val="0"/>
          <w:divBdr>
            <w:top w:val="none" w:sz="0" w:space="0" w:color="auto"/>
            <w:left w:val="none" w:sz="0" w:space="0" w:color="auto"/>
            <w:bottom w:val="none" w:sz="0" w:space="0" w:color="auto"/>
            <w:right w:val="none" w:sz="0" w:space="0" w:color="auto"/>
          </w:divBdr>
        </w:div>
        <w:div w:id="1857962848">
          <w:marLeft w:val="0"/>
          <w:marRight w:val="0"/>
          <w:marTop w:val="0"/>
          <w:marBottom w:val="0"/>
          <w:divBdr>
            <w:top w:val="none" w:sz="0" w:space="0" w:color="auto"/>
            <w:left w:val="none" w:sz="0" w:space="0" w:color="auto"/>
            <w:bottom w:val="none" w:sz="0" w:space="0" w:color="auto"/>
            <w:right w:val="none" w:sz="0" w:space="0" w:color="auto"/>
          </w:divBdr>
        </w:div>
        <w:div w:id="1427966087">
          <w:marLeft w:val="0"/>
          <w:marRight w:val="0"/>
          <w:marTop w:val="0"/>
          <w:marBottom w:val="0"/>
          <w:divBdr>
            <w:top w:val="none" w:sz="0" w:space="0" w:color="auto"/>
            <w:left w:val="none" w:sz="0" w:space="0" w:color="auto"/>
            <w:bottom w:val="none" w:sz="0" w:space="0" w:color="auto"/>
            <w:right w:val="none" w:sz="0" w:space="0" w:color="auto"/>
          </w:divBdr>
        </w:div>
        <w:div w:id="995499838">
          <w:marLeft w:val="0"/>
          <w:marRight w:val="0"/>
          <w:marTop w:val="0"/>
          <w:marBottom w:val="0"/>
          <w:divBdr>
            <w:top w:val="none" w:sz="0" w:space="0" w:color="auto"/>
            <w:left w:val="none" w:sz="0" w:space="0" w:color="auto"/>
            <w:bottom w:val="none" w:sz="0" w:space="0" w:color="auto"/>
            <w:right w:val="none" w:sz="0" w:space="0" w:color="auto"/>
          </w:divBdr>
        </w:div>
      </w:divsChild>
    </w:div>
    <w:div w:id="844588148">
      <w:bodyDiv w:val="1"/>
      <w:marLeft w:val="0"/>
      <w:marRight w:val="0"/>
      <w:marTop w:val="0"/>
      <w:marBottom w:val="0"/>
      <w:divBdr>
        <w:top w:val="none" w:sz="0" w:space="0" w:color="auto"/>
        <w:left w:val="none" w:sz="0" w:space="0" w:color="auto"/>
        <w:bottom w:val="none" w:sz="0" w:space="0" w:color="auto"/>
        <w:right w:val="none" w:sz="0" w:space="0" w:color="auto"/>
      </w:divBdr>
    </w:div>
    <w:div w:id="852457106">
      <w:bodyDiv w:val="1"/>
      <w:marLeft w:val="0"/>
      <w:marRight w:val="0"/>
      <w:marTop w:val="0"/>
      <w:marBottom w:val="0"/>
      <w:divBdr>
        <w:top w:val="none" w:sz="0" w:space="0" w:color="auto"/>
        <w:left w:val="none" w:sz="0" w:space="0" w:color="auto"/>
        <w:bottom w:val="none" w:sz="0" w:space="0" w:color="auto"/>
        <w:right w:val="none" w:sz="0" w:space="0" w:color="auto"/>
      </w:divBdr>
    </w:div>
    <w:div w:id="860171377">
      <w:bodyDiv w:val="1"/>
      <w:marLeft w:val="0"/>
      <w:marRight w:val="0"/>
      <w:marTop w:val="0"/>
      <w:marBottom w:val="0"/>
      <w:divBdr>
        <w:top w:val="none" w:sz="0" w:space="0" w:color="auto"/>
        <w:left w:val="none" w:sz="0" w:space="0" w:color="auto"/>
        <w:bottom w:val="none" w:sz="0" w:space="0" w:color="auto"/>
        <w:right w:val="none" w:sz="0" w:space="0" w:color="auto"/>
      </w:divBdr>
    </w:div>
    <w:div w:id="1045911986">
      <w:bodyDiv w:val="1"/>
      <w:marLeft w:val="0"/>
      <w:marRight w:val="0"/>
      <w:marTop w:val="0"/>
      <w:marBottom w:val="0"/>
      <w:divBdr>
        <w:top w:val="none" w:sz="0" w:space="0" w:color="auto"/>
        <w:left w:val="none" w:sz="0" w:space="0" w:color="auto"/>
        <w:bottom w:val="none" w:sz="0" w:space="0" w:color="auto"/>
        <w:right w:val="none" w:sz="0" w:space="0" w:color="auto"/>
      </w:divBdr>
    </w:div>
    <w:div w:id="1054352132">
      <w:bodyDiv w:val="1"/>
      <w:marLeft w:val="0"/>
      <w:marRight w:val="0"/>
      <w:marTop w:val="0"/>
      <w:marBottom w:val="0"/>
      <w:divBdr>
        <w:top w:val="none" w:sz="0" w:space="0" w:color="auto"/>
        <w:left w:val="none" w:sz="0" w:space="0" w:color="auto"/>
        <w:bottom w:val="none" w:sz="0" w:space="0" w:color="auto"/>
        <w:right w:val="none" w:sz="0" w:space="0" w:color="auto"/>
      </w:divBdr>
      <w:divsChild>
        <w:div w:id="289093561">
          <w:marLeft w:val="0"/>
          <w:marRight w:val="0"/>
          <w:marTop w:val="0"/>
          <w:marBottom w:val="0"/>
          <w:divBdr>
            <w:top w:val="none" w:sz="0" w:space="0" w:color="auto"/>
            <w:left w:val="none" w:sz="0" w:space="0" w:color="auto"/>
            <w:bottom w:val="none" w:sz="0" w:space="0" w:color="auto"/>
            <w:right w:val="none" w:sz="0" w:space="0" w:color="auto"/>
          </w:divBdr>
          <w:divsChild>
            <w:div w:id="155848205">
              <w:marLeft w:val="0"/>
              <w:marRight w:val="0"/>
              <w:marTop w:val="0"/>
              <w:marBottom w:val="0"/>
              <w:divBdr>
                <w:top w:val="none" w:sz="0" w:space="0" w:color="auto"/>
                <w:left w:val="none" w:sz="0" w:space="0" w:color="auto"/>
                <w:bottom w:val="none" w:sz="0" w:space="0" w:color="auto"/>
                <w:right w:val="none" w:sz="0" w:space="0" w:color="auto"/>
              </w:divBdr>
              <w:divsChild>
                <w:div w:id="20176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60404">
      <w:bodyDiv w:val="1"/>
      <w:marLeft w:val="0"/>
      <w:marRight w:val="0"/>
      <w:marTop w:val="0"/>
      <w:marBottom w:val="0"/>
      <w:divBdr>
        <w:top w:val="none" w:sz="0" w:space="0" w:color="auto"/>
        <w:left w:val="none" w:sz="0" w:space="0" w:color="auto"/>
        <w:bottom w:val="none" w:sz="0" w:space="0" w:color="auto"/>
        <w:right w:val="none" w:sz="0" w:space="0" w:color="auto"/>
      </w:divBdr>
    </w:div>
    <w:div w:id="1161000665">
      <w:bodyDiv w:val="1"/>
      <w:marLeft w:val="0"/>
      <w:marRight w:val="0"/>
      <w:marTop w:val="0"/>
      <w:marBottom w:val="0"/>
      <w:divBdr>
        <w:top w:val="none" w:sz="0" w:space="0" w:color="auto"/>
        <w:left w:val="none" w:sz="0" w:space="0" w:color="auto"/>
        <w:bottom w:val="none" w:sz="0" w:space="0" w:color="auto"/>
        <w:right w:val="none" w:sz="0" w:space="0" w:color="auto"/>
      </w:divBdr>
    </w:div>
    <w:div w:id="1174883643">
      <w:bodyDiv w:val="1"/>
      <w:marLeft w:val="0"/>
      <w:marRight w:val="0"/>
      <w:marTop w:val="0"/>
      <w:marBottom w:val="0"/>
      <w:divBdr>
        <w:top w:val="none" w:sz="0" w:space="0" w:color="auto"/>
        <w:left w:val="none" w:sz="0" w:space="0" w:color="auto"/>
        <w:bottom w:val="none" w:sz="0" w:space="0" w:color="auto"/>
        <w:right w:val="none" w:sz="0" w:space="0" w:color="auto"/>
      </w:divBdr>
    </w:div>
    <w:div w:id="1185023845">
      <w:bodyDiv w:val="1"/>
      <w:marLeft w:val="0"/>
      <w:marRight w:val="0"/>
      <w:marTop w:val="0"/>
      <w:marBottom w:val="0"/>
      <w:divBdr>
        <w:top w:val="none" w:sz="0" w:space="0" w:color="auto"/>
        <w:left w:val="none" w:sz="0" w:space="0" w:color="auto"/>
        <w:bottom w:val="none" w:sz="0" w:space="0" w:color="auto"/>
        <w:right w:val="none" w:sz="0" w:space="0" w:color="auto"/>
      </w:divBdr>
    </w:div>
    <w:div w:id="1189373027">
      <w:bodyDiv w:val="1"/>
      <w:marLeft w:val="0"/>
      <w:marRight w:val="0"/>
      <w:marTop w:val="0"/>
      <w:marBottom w:val="0"/>
      <w:divBdr>
        <w:top w:val="none" w:sz="0" w:space="0" w:color="auto"/>
        <w:left w:val="none" w:sz="0" w:space="0" w:color="auto"/>
        <w:bottom w:val="none" w:sz="0" w:space="0" w:color="auto"/>
        <w:right w:val="none" w:sz="0" w:space="0" w:color="auto"/>
      </w:divBdr>
      <w:divsChild>
        <w:div w:id="146479688">
          <w:marLeft w:val="0"/>
          <w:marRight w:val="0"/>
          <w:marTop w:val="0"/>
          <w:marBottom w:val="0"/>
          <w:divBdr>
            <w:top w:val="none" w:sz="0" w:space="0" w:color="auto"/>
            <w:left w:val="none" w:sz="0" w:space="0" w:color="auto"/>
            <w:bottom w:val="none" w:sz="0" w:space="0" w:color="auto"/>
            <w:right w:val="none" w:sz="0" w:space="0" w:color="auto"/>
          </w:divBdr>
          <w:divsChild>
            <w:div w:id="2046904909">
              <w:marLeft w:val="0"/>
              <w:marRight w:val="0"/>
              <w:marTop w:val="0"/>
              <w:marBottom w:val="0"/>
              <w:divBdr>
                <w:top w:val="none" w:sz="0" w:space="0" w:color="auto"/>
                <w:left w:val="none" w:sz="0" w:space="0" w:color="auto"/>
                <w:bottom w:val="none" w:sz="0" w:space="0" w:color="auto"/>
                <w:right w:val="none" w:sz="0" w:space="0" w:color="auto"/>
              </w:divBdr>
              <w:divsChild>
                <w:div w:id="440995988">
                  <w:marLeft w:val="0"/>
                  <w:marRight w:val="0"/>
                  <w:marTop w:val="0"/>
                  <w:marBottom w:val="0"/>
                  <w:divBdr>
                    <w:top w:val="none" w:sz="0" w:space="0" w:color="auto"/>
                    <w:left w:val="none" w:sz="0" w:space="0" w:color="auto"/>
                    <w:bottom w:val="none" w:sz="0" w:space="0" w:color="auto"/>
                    <w:right w:val="none" w:sz="0" w:space="0" w:color="auto"/>
                  </w:divBdr>
                  <w:divsChild>
                    <w:div w:id="1820340335">
                      <w:marLeft w:val="0"/>
                      <w:marRight w:val="0"/>
                      <w:marTop w:val="0"/>
                      <w:marBottom w:val="0"/>
                      <w:divBdr>
                        <w:top w:val="none" w:sz="0" w:space="0" w:color="auto"/>
                        <w:left w:val="none" w:sz="0" w:space="0" w:color="auto"/>
                        <w:bottom w:val="none" w:sz="0" w:space="0" w:color="auto"/>
                        <w:right w:val="none" w:sz="0" w:space="0" w:color="auto"/>
                      </w:divBdr>
                      <w:divsChild>
                        <w:div w:id="1252354892">
                          <w:marLeft w:val="0"/>
                          <w:marRight w:val="0"/>
                          <w:marTop w:val="0"/>
                          <w:marBottom w:val="0"/>
                          <w:divBdr>
                            <w:top w:val="none" w:sz="0" w:space="0" w:color="auto"/>
                            <w:left w:val="none" w:sz="0" w:space="0" w:color="auto"/>
                            <w:bottom w:val="none" w:sz="0" w:space="0" w:color="auto"/>
                            <w:right w:val="none" w:sz="0" w:space="0" w:color="auto"/>
                          </w:divBdr>
                          <w:divsChild>
                            <w:div w:id="1102795541">
                              <w:marLeft w:val="0"/>
                              <w:marRight w:val="0"/>
                              <w:marTop w:val="0"/>
                              <w:marBottom w:val="0"/>
                              <w:divBdr>
                                <w:top w:val="none" w:sz="0" w:space="0" w:color="auto"/>
                                <w:left w:val="none" w:sz="0" w:space="0" w:color="auto"/>
                                <w:bottom w:val="none" w:sz="0" w:space="0" w:color="auto"/>
                                <w:right w:val="none" w:sz="0" w:space="0" w:color="auto"/>
                              </w:divBdr>
                            </w:div>
                            <w:div w:id="1630740532">
                              <w:marLeft w:val="0"/>
                              <w:marRight w:val="0"/>
                              <w:marTop w:val="0"/>
                              <w:marBottom w:val="0"/>
                              <w:divBdr>
                                <w:top w:val="none" w:sz="0" w:space="0" w:color="auto"/>
                                <w:left w:val="none" w:sz="0" w:space="0" w:color="auto"/>
                                <w:bottom w:val="none" w:sz="0" w:space="0" w:color="auto"/>
                                <w:right w:val="none" w:sz="0" w:space="0" w:color="auto"/>
                              </w:divBdr>
                            </w:div>
                            <w:div w:id="1355959573">
                              <w:marLeft w:val="0"/>
                              <w:marRight w:val="0"/>
                              <w:marTop w:val="75"/>
                              <w:marBottom w:val="0"/>
                              <w:divBdr>
                                <w:top w:val="none" w:sz="0" w:space="0" w:color="auto"/>
                                <w:left w:val="none" w:sz="0" w:space="0" w:color="auto"/>
                                <w:bottom w:val="none" w:sz="0" w:space="0" w:color="auto"/>
                                <w:right w:val="none" w:sz="0" w:space="0" w:color="auto"/>
                              </w:divBdr>
                              <w:divsChild>
                                <w:div w:id="14275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250591">
      <w:bodyDiv w:val="1"/>
      <w:marLeft w:val="0"/>
      <w:marRight w:val="0"/>
      <w:marTop w:val="0"/>
      <w:marBottom w:val="0"/>
      <w:divBdr>
        <w:top w:val="none" w:sz="0" w:space="0" w:color="auto"/>
        <w:left w:val="none" w:sz="0" w:space="0" w:color="auto"/>
        <w:bottom w:val="none" w:sz="0" w:space="0" w:color="auto"/>
        <w:right w:val="none" w:sz="0" w:space="0" w:color="auto"/>
      </w:divBdr>
    </w:div>
    <w:div w:id="1257324178">
      <w:bodyDiv w:val="1"/>
      <w:marLeft w:val="0"/>
      <w:marRight w:val="0"/>
      <w:marTop w:val="0"/>
      <w:marBottom w:val="0"/>
      <w:divBdr>
        <w:top w:val="none" w:sz="0" w:space="0" w:color="auto"/>
        <w:left w:val="none" w:sz="0" w:space="0" w:color="auto"/>
        <w:bottom w:val="none" w:sz="0" w:space="0" w:color="auto"/>
        <w:right w:val="none" w:sz="0" w:space="0" w:color="auto"/>
      </w:divBdr>
    </w:div>
    <w:div w:id="1303119237">
      <w:bodyDiv w:val="1"/>
      <w:marLeft w:val="0"/>
      <w:marRight w:val="0"/>
      <w:marTop w:val="0"/>
      <w:marBottom w:val="0"/>
      <w:divBdr>
        <w:top w:val="none" w:sz="0" w:space="0" w:color="auto"/>
        <w:left w:val="none" w:sz="0" w:space="0" w:color="auto"/>
        <w:bottom w:val="none" w:sz="0" w:space="0" w:color="auto"/>
        <w:right w:val="none" w:sz="0" w:space="0" w:color="auto"/>
      </w:divBdr>
    </w:div>
    <w:div w:id="1345859644">
      <w:bodyDiv w:val="1"/>
      <w:marLeft w:val="0"/>
      <w:marRight w:val="0"/>
      <w:marTop w:val="0"/>
      <w:marBottom w:val="0"/>
      <w:divBdr>
        <w:top w:val="none" w:sz="0" w:space="0" w:color="auto"/>
        <w:left w:val="none" w:sz="0" w:space="0" w:color="auto"/>
        <w:bottom w:val="none" w:sz="0" w:space="0" w:color="auto"/>
        <w:right w:val="none" w:sz="0" w:space="0" w:color="auto"/>
      </w:divBdr>
    </w:div>
    <w:div w:id="1347563602">
      <w:bodyDiv w:val="1"/>
      <w:marLeft w:val="0"/>
      <w:marRight w:val="0"/>
      <w:marTop w:val="0"/>
      <w:marBottom w:val="0"/>
      <w:divBdr>
        <w:top w:val="none" w:sz="0" w:space="0" w:color="auto"/>
        <w:left w:val="none" w:sz="0" w:space="0" w:color="auto"/>
        <w:bottom w:val="none" w:sz="0" w:space="0" w:color="auto"/>
        <w:right w:val="none" w:sz="0" w:space="0" w:color="auto"/>
      </w:divBdr>
    </w:div>
    <w:div w:id="1364163054">
      <w:bodyDiv w:val="1"/>
      <w:marLeft w:val="0"/>
      <w:marRight w:val="0"/>
      <w:marTop w:val="0"/>
      <w:marBottom w:val="0"/>
      <w:divBdr>
        <w:top w:val="none" w:sz="0" w:space="0" w:color="auto"/>
        <w:left w:val="none" w:sz="0" w:space="0" w:color="auto"/>
        <w:bottom w:val="none" w:sz="0" w:space="0" w:color="auto"/>
        <w:right w:val="none" w:sz="0" w:space="0" w:color="auto"/>
      </w:divBdr>
    </w:div>
    <w:div w:id="1424567088">
      <w:bodyDiv w:val="1"/>
      <w:marLeft w:val="0"/>
      <w:marRight w:val="0"/>
      <w:marTop w:val="0"/>
      <w:marBottom w:val="0"/>
      <w:divBdr>
        <w:top w:val="none" w:sz="0" w:space="0" w:color="auto"/>
        <w:left w:val="none" w:sz="0" w:space="0" w:color="auto"/>
        <w:bottom w:val="none" w:sz="0" w:space="0" w:color="auto"/>
        <w:right w:val="none" w:sz="0" w:space="0" w:color="auto"/>
      </w:divBdr>
    </w:div>
    <w:div w:id="1441031296">
      <w:bodyDiv w:val="1"/>
      <w:marLeft w:val="0"/>
      <w:marRight w:val="0"/>
      <w:marTop w:val="0"/>
      <w:marBottom w:val="0"/>
      <w:divBdr>
        <w:top w:val="none" w:sz="0" w:space="0" w:color="auto"/>
        <w:left w:val="none" w:sz="0" w:space="0" w:color="auto"/>
        <w:bottom w:val="none" w:sz="0" w:space="0" w:color="auto"/>
        <w:right w:val="none" w:sz="0" w:space="0" w:color="auto"/>
      </w:divBdr>
    </w:div>
    <w:div w:id="1442725923">
      <w:bodyDiv w:val="1"/>
      <w:marLeft w:val="0"/>
      <w:marRight w:val="0"/>
      <w:marTop w:val="0"/>
      <w:marBottom w:val="0"/>
      <w:divBdr>
        <w:top w:val="none" w:sz="0" w:space="0" w:color="auto"/>
        <w:left w:val="none" w:sz="0" w:space="0" w:color="auto"/>
        <w:bottom w:val="none" w:sz="0" w:space="0" w:color="auto"/>
        <w:right w:val="none" w:sz="0" w:space="0" w:color="auto"/>
      </w:divBdr>
    </w:div>
    <w:div w:id="1455758467">
      <w:bodyDiv w:val="1"/>
      <w:marLeft w:val="0"/>
      <w:marRight w:val="0"/>
      <w:marTop w:val="0"/>
      <w:marBottom w:val="0"/>
      <w:divBdr>
        <w:top w:val="none" w:sz="0" w:space="0" w:color="auto"/>
        <w:left w:val="none" w:sz="0" w:space="0" w:color="auto"/>
        <w:bottom w:val="none" w:sz="0" w:space="0" w:color="auto"/>
        <w:right w:val="none" w:sz="0" w:space="0" w:color="auto"/>
      </w:divBdr>
    </w:div>
    <w:div w:id="1458793431">
      <w:bodyDiv w:val="1"/>
      <w:marLeft w:val="0"/>
      <w:marRight w:val="0"/>
      <w:marTop w:val="0"/>
      <w:marBottom w:val="0"/>
      <w:divBdr>
        <w:top w:val="none" w:sz="0" w:space="0" w:color="auto"/>
        <w:left w:val="none" w:sz="0" w:space="0" w:color="auto"/>
        <w:bottom w:val="none" w:sz="0" w:space="0" w:color="auto"/>
        <w:right w:val="none" w:sz="0" w:space="0" w:color="auto"/>
      </w:divBdr>
    </w:div>
    <w:div w:id="1495758863">
      <w:bodyDiv w:val="1"/>
      <w:marLeft w:val="0"/>
      <w:marRight w:val="0"/>
      <w:marTop w:val="0"/>
      <w:marBottom w:val="0"/>
      <w:divBdr>
        <w:top w:val="none" w:sz="0" w:space="0" w:color="auto"/>
        <w:left w:val="none" w:sz="0" w:space="0" w:color="auto"/>
        <w:bottom w:val="none" w:sz="0" w:space="0" w:color="auto"/>
        <w:right w:val="none" w:sz="0" w:space="0" w:color="auto"/>
      </w:divBdr>
    </w:div>
    <w:div w:id="1498836579">
      <w:bodyDiv w:val="1"/>
      <w:marLeft w:val="0"/>
      <w:marRight w:val="0"/>
      <w:marTop w:val="0"/>
      <w:marBottom w:val="0"/>
      <w:divBdr>
        <w:top w:val="none" w:sz="0" w:space="0" w:color="auto"/>
        <w:left w:val="none" w:sz="0" w:space="0" w:color="auto"/>
        <w:bottom w:val="none" w:sz="0" w:space="0" w:color="auto"/>
        <w:right w:val="none" w:sz="0" w:space="0" w:color="auto"/>
      </w:divBdr>
    </w:div>
    <w:div w:id="1582638811">
      <w:bodyDiv w:val="1"/>
      <w:marLeft w:val="0"/>
      <w:marRight w:val="0"/>
      <w:marTop w:val="0"/>
      <w:marBottom w:val="0"/>
      <w:divBdr>
        <w:top w:val="none" w:sz="0" w:space="0" w:color="auto"/>
        <w:left w:val="none" w:sz="0" w:space="0" w:color="auto"/>
        <w:bottom w:val="none" w:sz="0" w:space="0" w:color="auto"/>
        <w:right w:val="none" w:sz="0" w:space="0" w:color="auto"/>
      </w:divBdr>
    </w:div>
    <w:div w:id="1596666447">
      <w:bodyDiv w:val="1"/>
      <w:marLeft w:val="0"/>
      <w:marRight w:val="0"/>
      <w:marTop w:val="0"/>
      <w:marBottom w:val="0"/>
      <w:divBdr>
        <w:top w:val="none" w:sz="0" w:space="0" w:color="auto"/>
        <w:left w:val="none" w:sz="0" w:space="0" w:color="auto"/>
        <w:bottom w:val="none" w:sz="0" w:space="0" w:color="auto"/>
        <w:right w:val="none" w:sz="0" w:space="0" w:color="auto"/>
      </w:divBdr>
    </w:div>
    <w:div w:id="1607998638">
      <w:bodyDiv w:val="1"/>
      <w:marLeft w:val="0"/>
      <w:marRight w:val="0"/>
      <w:marTop w:val="0"/>
      <w:marBottom w:val="0"/>
      <w:divBdr>
        <w:top w:val="none" w:sz="0" w:space="0" w:color="auto"/>
        <w:left w:val="none" w:sz="0" w:space="0" w:color="auto"/>
        <w:bottom w:val="none" w:sz="0" w:space="0" w:color="auto"/>
        <w:right w:val="none" w:sz="0" w:space="0" w:color="auto"/>
      </w:divBdr>
    </w:div>
    <w:div w:id="1679651828">
      <w:bodyDiv w:val="1"/>
      <w:marLeft w:val="0"/>
      <w:marRight w:val="0"/>
      <w:marTop w:val="0"/>
      <w:marBottom w:val="0"/>
      <w:divBdr>
        <w:top w:val="none" w:sz="0" w:space="0" w:color="auto"/>
        <w:left w:val="none" w:sz="0" w:space="0" w:color="auto"/>
        <w:bottom w:val="none" w:sz="0" w:space="0" w:color="auto"/>
        <w:right w:val="none" w:sz="0" w:space="0" w:color="auto"/>
      </w:divBdr>
    </w:div>
    <w:div w:id="1695686437">
      <w:bodyDiv w:val="1"/>
      <w:marLeft w:val="0"/>
      <w:marRight w:val="0"/>
      <w:marTop w:val="0"/>
      <w:marBottom w:val="0"/>
      <w:divBdr>
        <w:top w:val="none" w:sz="0" w:space="0" w:color="auto"/>
        <w:left w:val="none" w:sz="0" w:space="0" w:color="auto"/>
        <w:bottom w:val="none" w:sz="0" w:space="0" w:color="auto"/>
        <w:right w:val="none" w:sz="0" w:space="0" w:color="auto"/>
      </w:divBdr>
    </w:div>
    <w:div w:id="1703553904">
      <w:bodyDiv w:val="1"/>
      <w:marLeft w:val="0"/>
      <w:marRight w:val="0"/>
      <w:marTop w:val="0"/>
      <w:marBottom w:val="0"/>
      <w:divBdr>
        <w:top w:val="none" w:sz="0" w:space="0" w:color="auto"/>
        <w:left w:val="none" w:sz="0" w:space="0" w:color="auto"/>
        <w:bottom w:val="none" w:sz="0" w:space="0" w:color="auto"/>
        <w:right w:val="none" w:sz="0" w:space="0" w:color="auto"/>
      </w:divBdr>
    </w:div>
    <w:div w:id="1729575572">
      <w:bodyDiv w:val="1"/>
      <w:marLeft w:val="0"/>
      <w:marRight w:val="0"/>
      <w:marTop w:val="0"/>
      <w:marBottom w:val="0"/>
      <w:divBdr>
        <w:top w:val="none" w:sz="0" w:space="0" w:color="auto"/>
        <w:left w:val="none" w:sz="0" w:space="0" w:color="auto"/>
        <w:bottom w:val="none" w:sz="0" w:space="0" w:color="auto"/>
        <w:right w:val="none" w:sz="0" w:space="0" w:color="auto"/>
      </w:divBdr>
    </w:div>
    <w:div w:id="1805196922">
      <w:bodyDiv w:val="1"/>
      <w:marLeft w:val="0"/>
      <w:marRight w:val="0"/>
      <w:marTop w:val="0"/>
      <w:marBottom w:val="0"/>
      <w:divBdr>
        <w:top w:val="none" w:sz="0" w:space="0" w:color="auto"/>
        <w:left w:val="none" w:sz="0" w:space="0" w:color="auto"/>
        <w:bottom w:val="none" w:sz="0" w:space="0" w:color="auto"/>
        <w:right w:val="none" w:sz="0" w:space="0" w:color="auto"/>
      </w:divBdr>
    </w:div>
    <w:div w:id="1808428515">
      <w:bodyDiv w:val="1"/>
      <w:marLeft w:val="0"/>
      <w:marRight w:val="0"/>
      <w:marTop w:val="0"/>
      <w:marBottom w:val="0"/>
      <w:divBdr>
        <w:top w:val="none" w:sz="0" w:space="0" w:color="auto"/>
        <w:left w:val="none" w:sz="0" w:space="0" w:color="auto"/>
        <w:bottom w:val="none" w:sz="0" w:space="0" w:color="auto"/>
        <w:right w:val="none" w:sz="0" w:space="0" w:color="auto"/>
      </w:divBdr>
    </w:div>
    <w:div w:id="1873346960">
      <w:bodyDiv w:val="1"/>
      <w:marLeft w:val="0"/>
      <w:marRight w:val="0"/>
      <w:marTop w:val="0"/>
      <w:marBottom w:val="0"/>
      <w:divBdr>
        <w:top w:val="none" w:sz="0" w:space="0" w:color="auto"/>
        <w:left w:val="none" w:sz="0" w:space="0" w:color="auto"/>
        <w:bottom w:val="none" w:sz="0" w:space="0" w:color="auto"/>
        <w:right w:val="none" w:sz="0" w:space="0" w:color="auto"/>
      </w:divBdr>
    </w:div>
    <w:div w:id="1942568484">
      <w:bodyDiv w:val="1"/>
      <w:marLeft w:val="0"/>
      <w:marRight w:val="0"/>
      <w:marTop w:val="0"/>
      <w:marBottom w:val="0"/>
      <w:divBdr>
        <w:top w:val="none" w:sz="0" w:space="0" w:color="auto"/>
        <w:left w:val="none" w:sz="0" w:space="0" w:color="auto"/>
        <w:bottom w:val="none" w:sz="0" w:space="0" w:color="auto"/>
        <w:right w:val="none" w:sz="0" w:space="0" w:color="auto"/>
      </w:divBdr>
    </w:div>
    <w:div w:id="1955287426">
      <w:bodyDiv w:val="1"/>
      <w:marLeft w:val="0"/>
      <w:marRight w:val="0"/>
      <w:marTop w:val="0"/>
      <w:marBottom w:val="0"/>
      <w:divBdr>
        <w:top w:val="none" w:sz="0" w:space="0" w:color="auto"/>
        <w:left w:val="none" w:sz="0" w:space="0" w:color="auto"/>
        <w:bottom w:val="none" w:sz="0" w:space="0" w:color="auto"/>
        <w:right w:val="none" w:sz="0" w:space="0" w:color="auto"/>
      </w:divBdr>
    </w:div>
    <w:div w:id="1960528028">
      <w:bodyDiv w:val="1"/>
      <w:marLeft w:val="0"/>
      <w:marRight w:val="0"/>
      <w:marTop w:val="0"/>
      <w:marBottom w:val="0"/>
      <w:divBdr>
        <w:top w:val="none" w:sz="0" w:space="0" w:color="auto"/>
        <w:left w:val="none" w:sz="0" w:space="0" w:color="auto"/>
        <w:bottom w:val="none" w:sz="0" w:space="0" w:color="auto"/>
        <w:right w:val="none" w:sz="0" w:space="0" w:color="auto"/>
      </w:divBdr>
    </w:div>
    <w:div w:id="2008051891">
      <w:bodyDiv w:val="1"/>
      <w:marLeft w:val="0"/>
      <w:marRight w:val="0"/>
      <w:marTop w:val="0"/>
      <w:marBottom w:val="0"/>
      <w:divBdr>
        <w:top w:val="none" w:sz="0" w:space="0" w:color="auto"/>
        <w:left w:val="none" w:sz="0" w:space="0" w:color="auto"/>
        <w:bottom w:val="none" w:sz="0" w:space="0" w:color="auto"/>
        <w:right w:val="none" w:sz="0" w:space="0" w:color="auto"/>
      </w:divBdr>
    </w:div>
    <w:div w:id="2008090683">
      <w:bodyDiv w:val="1"/>
      <w:marLeft w:val="0"/>
      <w:marRight w:val="0"/>
      <w:marTop w:val="0"/>
      <w:marBottom w:val="0"/>
      <w:divBdr>
        <w:top w:val="none" w:sz="0" w:space="0" w:color="auto"/>
        <w:left w:val="none" w:sz="0" w:space="0" w:color="auto"/>
        <w:bottom w:val="none" w:sz="0" w:space="0" w:color="auto"/>
        <w:right w:val="none" w:sz="0" w:space="0" w:color="auto"/>
      </w:divBdr>
      <w:divsChild>
        <w:div w:id="593782861">
          <w:marLeft w:val="0"/>
          <w:marRight w:val="0"/>
          <w:marTop w:val="0"/>
          <w:marBottom w:val="0"/>
          <w:divBdr>
            <w:top w:val="none" w:sz="0" w:space="0" w:color="auto"/>
            <w:left w:val="none" w:sz="0" w:space="0" w:color="auto"/>
            <w:bottom w:val="none" w:sz="0" w:space="0" w:color="auto"/>
            <w:right w:val="none" w:sz="0" w:space="0" w:color="auto"/>
          </w:divBdr>
        </w:div>
        <w:div w:id="1880781918">
          <w:marLeft w:val="0"/>
          <w:marRight w:val="0"/>
          <w:marTop w:val="0"/>
          <w:marBottom w:val="0"/>
          <w:divBdr>
            <w:top w:val="none" w:sz="0" w:space="0" w:color="auto"/>
            <w:left w:val="none" w:sz="0" w:space="0" w:color="auto"/>
            <w:bottom w:val="none" w:sz="0" w:space="0" w:color="auto"/>
            <w:right w:val="none" w:sz="0" w:space="0" w:color="auto"/>
          </w:divBdr>
        </w:div>
        <w:div w:id="1493715498">
          <w:marLeft w:val="0"/>
          <w:marRight w:val="0"/>
          <w:marTop w:val="0"/>
          <w:marBottom w:val="0"/>
          <w:divBdr>
            <w:top w:val="none" w:sz="0" w:space="0" w:color="auto"/>
            <w:left w:val="none" w:sz="0" w:space="0" w:color="auto"/>
            <w:bottom w:val="none" w:sz="0" w:space="0" w:color="auto"/>
            <w:right w:val="none" w:sz="0" w:space="0" w:color="auto"/>
          </w:divBdr>
        </w:div>
        <w:div w:id="1147355341">
          <w:marLeft w:val="0"/>
          <w:marRight w:val="0"/>
          <w:marTop w:val="0"/>
          <w:marBottom w:val="0"/>
          <w:divBdr>
            <w:top w:val="none" w:sz="0" w:space="0" w:color="auto"/>
            <w:left w:val="none" w:sz="0" w:space="0" w:color="auto"/>
            <w:bottom w:val="none" w:sz="0" w:space="0" w:color="auto"/>
            <w:right w:val="none" w:sz="0" w:space="0" w:color="auto"/>
          </w:divBdr>
        </w:div>
        <w:div w:id="93985836">
          <w:marLeft w:val="0"/>
          <w:marRight w:val="0"/>
          <w:marTop w:val="0"/>
          <w:marBottom w:val="0"/>
          <w:divBdr>
            <w:top w:val="none" w:sz="0" w:space="0" w:color="auto"/>
            <w:left w:val="none" w:sz="0" w:space="0" w:color="auto"/>
            <w:bottom w:val="none" w:sz="0" w:space="0" w:color="auto"/>
            <w:right w:val="none" w:sz="0" w:space="0" w:color="auto"/>
          </w:divBdr>
        </w:div>
        <w:div w:id="1541284978">
          <w:marLeft w:val="0"/>
          <w:marRight w:val="0"/>
          <w:marTop w:val="0"/>
          <w:marBottom w:val="0"/>
          <w:divBdr>
            <w:top w:val="none" w:sz="0" w:space="0" w:color="auto"/>
            <w:left w:val="none" w:sz="0" w:space="0" w:color="auto"/>
            <w:bottom w:val="none" w:sz="0" w:space="0" w:color="auto"/>
            <w:right w:val="none" w:sz="0" w:space="0" w:color="auto"/>
          </w:divBdr>
        </w:div>
        <w:div w:id="1053385356">
          <w:marLeft w:val="0"/>
          <w:marRight w:val="0"/>
          <w:marTop w:val="0"/>
          <w:marBottom w:val="0"/>
          <w:divBdr>
            <w:top w:val="none" w:sz="0" w:space="0" w:color="auto"/>
            <w:left w:val="none" w:sz="0" w:space="0" w:color="auto"/>
            <w:bottom w:val="none" w:sz="0" w:space="0" w:color="auto"/>
            <w:right w:val="none" w:sz="0" w:space="0" w:color="auto"/>
          </w:divBdr>
        </w:div>
        <w:div w:id="986476201">
          <w:marLeft w:val="0"/>
          <w:marRight w:val="0"/>
          <w:marTop w:val="0"/>
          <w:marBottom w:val="0"/>
          <w:divBdr>
            <w:top w:val="none" w:sz="0" w:space="0" w:color="auto"/>
            <w:left w:val="none" w:sz="0" w:space="0" w:color="auto"/>
            <w:bottom w:val="none" w:sz="0" w:space="0" w:color="auto"/>
            <w:right w:val="none" w:sz="0" w:space="0" w:color="auto"/>
          </w:divBdr>
        </w:div>
      </w:divsChild>
    </w:div>
    <w:div w:id="2038702143">
      <w:bodyDiv w:val="1"/>
      <w:marLeft w:val="0"/>
      <w:marRight w:val="0"/>
      <w:marTop w:val="0"/>
      <w:marBottom w:val="0"/>
      <w:divBdr>
        <w:top w:val="none" w:sz="0" w:space="0" w:color="auto"/>
        <w:left w:val="none" w:sz="0" w:space="0" w:color="auto"/>
        <w:bottom w:val="none" w:sz="0" w:space="0" w:color="auto"/>
        <w:right w:val="none" w:sz="0" w:space="0" w:color="auto"/>
      </w:divBdr>
    </w:div>
    <w:div w:id="2098482538">
      <w:bodyDiv w:val="1"/>
      <w:marLeft w:val="0"/>
      <w:marRight w:val="0"/>
      <w:marTop w:val="0"/>
      <w:marBottom w:val="0"/>
      <w:divBdr>
        <w:top w:val="none" w:sz="0" w:space="0" w:color="auto"/>
        <w:left w:val="none" w:sz="0" w:space="0" w:color="auto"/>
        <w:bottom w:val="none" w:sz="0" w:space="0" w:color="auto"/>
        <w:right w:val="none" w:sz="0" w:space="0" w:color="auto"/>
      </w:divBdr>
    </w:div>
    <w:div w:id="2111390336">
      <w:bodyDiv w:val="1"/>
      <w:marLeft w:val="0"/>
      <w:marRight w:val="0"/>
      <w:marTop w:val="0"/>
      <w:marBottom w:val="0"/>
      <w:divBdr>
        <w:top w:val="none" w:sz="0" w:space="0" w:color="auto"/>
        <w:left w:val="none" w:sz="0" w:space="0" w:color="auto"/>
        <w:bottom w:val="none" w:sz="0" w:space="0" w:color="auto"/>
        <w:right w:val="none" w:sz="0" w:space="0" w:color="auto"/>
      </w:divBdr>
    </w:div>
    <w:div w:id="2127574914">
      <w:bodyDiv w:val="1"/>
      <w:marLeft w:val="0"/>
      <w:marRight w:val="0"/>
      <w:marTop w:val="0"/>
      <w:marBottom w:val="0"/>
      <w:divBdr>
        <w:top w:val="none" w:sz="0" w:space="0" w:color="auto"/>
        <w:left w:val="none" w:sz="0" w:space="0" w:color="auto"/>
        <w:bottom w:val="none" w:sz="0" w:space="0" w:color="auto"/>
        <w:right w:val="none" w:sz="0" w:space="0" w:color="auto"/>
      </w:divBdr>
      <w:divsChild>
        <w:div w:id="122500286">
          <w:marLeft w:val="0"/>
          <w:marRight w:val="0"/>
          <w:marTop w:val="480"/>
          <w:marBottom w:val="0"/>
          <w:divBdr>
            <w:top w:val="none" w:sz="0" w:space="0" w:color="auto"/>
            <w:left w:val="none" w:sz="0" w:space="0" w:color="auto"/>
            <w:bottom w:val="none" w:sz="0" w:space="0" w:color="auto"/>
            <w:right w:val="none" w:sz="0" w:space="0" w:color="auto"/>
          </w:divBdr>
        </w:div>
        <w:div w:id="167799525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3649</Words>
  <Characters>20070</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Lasserre  Capdeville</dc:creator>
  <cp:keywords/>
  <dc:description/>
  <cp:lastModifiedBy>Jérôme Lasserre  Capdeville</cp:lastModifiedBy>
  <cp:revision>3</cp:revision>
  <cp:lastPrinted>2022-11-20T13:55:00Z</cp:lastPrinted>
  <dcterms:created xsi:type="dcterms:W3CDTF">2025-09-18T05:09:00Z</dcterms:created>
  <dcterms:modified xsi:type="dcterms:W3CDTF">2025-09-18T05:11:00Z</dcterms:modified>
</cp:coreProperties>
</file>