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429" w:rsidRPr="00D85DB1" w:rsidRDefault="00945429" w:rsidP="00945429">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D85DB1">
        <w:rPr>
          <w:rFonts w:ascii="Arial" w:hAnsi="Arial" w:cs="Arial"/>
          <w:b/>
          <w:sz w:val="32"/>
          <w:szCs w:val="32"/>
        </w:rPr>
        <w:t>DROIT COMMERCIAL APPROFONDI</w:t>
      </w:r>
    </w:p>
    <w:p w:rsidR="00945429" w:rsidRPr="00D85DB1" w:rsidRDefault="00945429" w:rsidP="00945429">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D85DB1">
        <w:rPr>
          <w:rFonts w:ascii="Arial" w:hAnsi="Arial" w:cs="Arial"/>
          <w:b/>
          <w:sz w:val="32"/>
          <w:szCs w:val="32"/>
        </w:rPr>
        <w:t>DROIT BANCAIRE</w:t>
      </w:r>
    </w:p>
    <w:p w:rsidR="00945429" w:rsidRDefault="00945429" w:rsidP="00945429"/>
    <w:p w:rsidR="00945429" w:rsidRPr="00D85DB1" w:rsidRDefault="00945429" w:rsidP="00945429">
      <w:pPr>
        <w:rPr>
          <w:b/>
        </w:rPr>
      </w:pPr>
      <w:r w:rsidRPr="00D85DB1">
        <w:rPr>
          <w:b/>
        </w:rPr>
        <w:t xml:space="preserve">Cours de </w:t>
      </w:r>
      <w:r>
        <w:rPr>
          <w:b/>
        </w:rPr>
        <w:t xml:space="preserve">J. </w:t>
      </w:r>
      <w:r w:rsidRPr="00D85DB1">
        <w:rPr>
          <w:b/>
        </w:rPr>
        <w:t>LASSERRE CAPDEVILLE</w:t>
      </w:r>
    </w:p>
    <w:p w:rsidR="00945429" w:rsidRDefault="00945429" w:rsidP="00945429"/>
    <w:p w:rsidR="00945429" w:rsidRDefault="00945429" w:rsidP="00945429"/>
    <w:p w:rsidR="00945429" w:rsidRDefault="00945429" w:rsidP="00945429"/>
    <w:p w:rsidR="00945429" w:rsidRPr="00D85DB1" w:rsidRDefault="00945429" w:rsidP="00945429">
      <w:pPr>
        <w:jc w:val="center"/>
        <w:rPr>
          <w:rFonts w:ascii="Arial" w:hAnsi="Arial" w:cs="Arial"/>
          <w:b/>
          <w:sz w:val="32"/>
          <w:szCs w:val="32"/>
        </w:rPr>
      </w:pPr>
      <w:r w:rsidRPr="00D85DB1">
        <w:rPr>
          <w:rFonts w:ascii="Arial" w:hAnsi="Arial" w:cs="Arial"/>
          <w:b/>
          <w:sz w:val="32"/>
          <w:szCs w:val="32"/>
        </w:rPr>
        <w:t>TRAVAUX DIRIGÉS</w:t>
      </w:r>
    </w:p>
    <w:p w:rsidR="00945429" w:rsidRDefault="00945429" w:rsidP="00945429">
      <w:pPr>
        <w:rPr>
          <w:b/>
        </w:rPr>
      </w:pPr>
    </w:p>
    <w:p w:rsidR="00945429" w:rsidRPr="00D85DB1" w:rsidRDefault="00945429" w:rsidP="00945429">
      <w:pPr>
        <w:rPr>
          <w:b/>
        </w:rPr>
      </w:pPr>
    </w:p>
    <w:p w:rsidR="00945429" w:rsidRDefault="00945429" w:rsidP="00945429">
      <w:pPr>
        <w:jc w:val="right"/>
        <w:rPr>
          <w:b/>
          <w:u w:val="single"/>
        </w:rPr>
      </w:pPr>
      <w:r w:rsidRPr="00D85DB1">
        <w:rPr>
          <w:b/>
          <w:u w:val="single"/>
        </w:rPr>
        <w:t>Équipe pédagogique :</w:t>
      </w:r>
    </w:p>
    <w:p w:rsidR="00945429" w:rsidRDefault="00945429" w:rsidP="00945429">
      <w:pPr>
        <w:jc w:val="right"/>
        <w:rPr>
          <w:b/>
        </w:rPr>
      </w:pPr>
      <w:r>
        <w:rPr>
          <w:b/>
        </w:rPr>
        <w:t>E. DERCOURT</w:t>
      </w:r>
    </w:p>
    <w:p w:rsidR="00945429" w:rsidRPr="00FB59F4" w:rsidRDefault="00945429" w:rsidP="00945429">
      <w:pPr>
        <w:jc w:val="right"/>
        <w:rPr>
          <w:b/>
        </w:rPr>
      </w:pPr>
    </w:p>
    <w:p w:rsidR="00945429" w:rsidRPr="00FB59F4" w:rsidRDefault="00945429" w:rsidP="00945429">
      <w:pPr>
        <w:jc w:val="right"/>
        <w:rPr>
          <w:b/>
        </w:rPr>
      </w:pPr>
    </w:p>
    <w:p w:rsidR="00945429" w:rsidRPr="00D85DB1" w:rsidRDefault="00945429" w:rsidP="00945429"/>
    <w:p w:rsidR="00945429" w:rsidRPr="00D85DB1" w:rsidRDefault="00945429" w:rsidP="00945429">
      <w:pPr>
        <w:rPr>
          <w:b/>
        </w:rPr>
      </w:pPr>
      <w:r w:rsidRPr="00D85DB1">
        <w:rPr>
          <w:b/>
        </w:rPr>
        <w:t xml:space="preserve">Séance n° </w:t>
      </w:r>
      <w:r w:rsidR="00044CD5">
        <w:rPr>
          <w:b/>
        </w:rPr>
        <w:t>9</w:t>
      </w:r>
    </w:p>
    <w:p w:rsidR="00945429" w:rsidRPr="00D85DB1" w:rsidRDefault="00945429" w:rsidP="00945429"/>
    <w:p w:rsidR="00945429" w:rsidRPr="00D85DB1" w:rsidRDefault="00945429" w:rsidP="00945429">
      <w:r w:rsidRPr="00D85DB1">
        <w:rPr>
          <w:b/>
        </w:rPr>
        <w:t>Thème :</w:t>
      </w:r>
      <w:r w:rsidRPr="00D85DB1">
        <w:t xml:space="preserve"> </w:t>
      </w:r>
      <w:r>
        <w:t xml:space="preserve">les </w:t>
      </w:r>
      <w:r w:rsidR="00044CD5">
        <w:t>acteurs de la finance</w:t>
      </w:r>
    </w:p>
    <w:p w:rsidR="00945429" w:rsidRDefault="00945429" w:rsidP="00945429"/>
    <w:p w:rsidR="00945429" w:rsidRPr="003E54E2" w:rsidRDefault="00945429" w:rsidP="00945429"/>
    <w:p w:rsidR="00945429" w:rsidRDefault="00945429" w:rsidP="00945429">
      <w:pPr>
        <w:rPr>
          <w:b/>
        </w:rPr>
      </w:pPr>
    </w:p>
    <w:p w:rsidR="00945429" w:rsidRPr="003E54E2" w:rsidRDefault="00945429" w:rsidP="00945429">
      <w:pPr>
        <w:rPr>
          <w:b/>
          <w:u w:val="single"/>
        </w:rPr>
      </w:pPr>
      <w:r>
        <w:rPr>
          <w:b/>
          <w:u w:val="single"/>
        </w:rPr>
        <w:t>Dissertation</w:t>
      </w:r>
    </w:p>
    <w:p w:rsidR="00945429" w:rsidRDefault="00945429" w:rsidP="00945429"/>
    <w:p w:rsidR="00945429" w:rsidRDefault="00044CD5" w:rsidP="00945429">
      <w:r>
        <w:t>Le pouvoir de sanction de l’AMF</w:t>
      </w:r>
    </w:p>
    <w:p w:rsidR="00945429" w:rsidRDefault="00945429" w:rsidP="00945429">
      <w:pPr>
        <w:jc w:val="both"/>
      </w:pPr>
    </w:p>
    <w:p w:rsidR="00945429" w:rsidRDefault="00945429" w:rsidP="00945429">
      <w:pPr>
        <w:jc w:val="both"/>
      </w:pPr>
    </w:p>
    <w:p w:rsidR="00945429" w:rsidRDefault="00945429" w:rsidP="00945429">
      <w:pPr>
        <w:jc w:val="both"/>
      </w:pPr>
    </w:p>
    <w:p w:rsidR="00945429" w:rsidRDefault="00945429" w:rsidP="00945429">
      <w:pPr>
        <w:jc w:val="both"/>
      </w:pPr>
    </w:p>
    <w:p w:rsidR="00945429" w:rsidRDefault="00945429" w:rsidP="00945429">
      <w:pPr>
        <w:jc w:val="both"/>
      </w:pPr>
    </w:p>
    <w:p w:rsidR="00945429" w:rsidRPr="00044CD5" w:rsidRDefault="00044CD5" w:rsidP="00945429">
      <w:pPr>
        <w:jc w:val="both"/>
        <w:rPr>
          <w:b/>
        </w:rPr>
      </w:pPr>
      <w:r w:rsidRPr="00044CD5">
        <w:rPr>
          <w:b/>
        </w:rPr>
        <w:t>Décision à commenter :</w:t>
      </w:r>
    </w:p>
    <w:p w:rsidR="00945429" w:rsidRDefault="00945429" w:rsidP="00945429">
      <w:pPr>
        <w:jc w:val="both"/>
      </w:pPr>
    </w:p>
    <w:p w:rsidR="00945429" w:rsidRDefault="00044CD5" w:rsidP="00945429">
      <w:pPr>
        <w:jc w:val="both"/>
      </w:pPr>
      <w:r>
        <w:t>CA Aix-en-Provence, 18 juillet 2024, n° 19/16987</w:t>
      </w:r>
    </w:p>
    <w:p w:rsidR="00044CD5" w:rsidRDefault="00044CD5" w:rsidP="00945429">
      <w:pPr>
        <w:jc w:val="both"/>
      </w:pPr>
    </w:p>
    <w:p w:rsidR="001E0AF6" w:rsidRDefault="001E0AF6" w:rsidP="00945429">
      <w:pPr>
        <w:jc w:val="both"/>
      </w:pPr>
    </w:p>
    <w:p w:rsidR="00945429" w:rsidRPr="00945429" w:rsidRDefault="00945429" w:rsidP="00945429">
      <w:pPr>
        <w:jc w:val="both"/>
        <w:rPr>
          <w:b/>
        </w:rPr>
      </w:pPr>
      <w:r w:rsidRPr="00945429">
        <w:rPr>
          <w:b/>
        </w:rPr>
        <w:t xml:space="preserve">Répondez </w:t>
      </w:r>
      <w:r w:rsidR="00044CD5">
        <w:rPr>
          <w:b/>
        </w:rPr>
        <w:t>aux questions suivantes :</w:t>
      </w:r>
    </w:p>
    <w:p w:rsidR="00945429" w:rsidRDefault="00945429" w:rsidP="00945429">
      <w:pPr>
        <w:jc w:val="both"/>
      </w:pPr>
    </w:p>
    <w:p w:rsidR="00945429" w:rsidRDefault="00945429" w:rsidP="00945429">
      <w:pPr>
        <w:jc w:val="both"/>
      </w:pPr>
      <w:r>
        <w:t>-Qu</w:t>
      </w:r>
      <w:r w:rsidR="00044CD5">
        <w:t>i délivre l’agrément des prestataires de services d’investissement ?</w:t>
      </w:r>
    </w:p>
    <w:p w:rsidR="00945429" w:rsidRDefault="00945429" w:rsidP="00945429">
      <w:pPr>
        <w:jc w:val="both"/>
      </w:pPr>
    </w:p>
    <w:p w:rsidR="00044CD5" w:rsidRDefault="00044CD5" w:rsidP="00945429">
      <w:pPr>
        <w:jc w:val="both"/>
      </w:pPr>
      <w:r>
        <w:t xml:space="preserve">-Que pouvez-vous dire sur le devoir de mise en garde des prestataires de services d’investissement ? </w:t>
      </w:r>
    </w:p>
    <w:p w:rsidR="00F5180A" w:rsidRDefault="00F5180A"/>
    <w:p w:rsidR="00044CD5" w:rsidRDefault="00044CD5"/>
    <w:p w:rsidR="00044CD5" w:rsidRDefault="00044CD5"/>
    <w:p w:rsidR="00044CD5" w:rsidRDefault="00044CD5"/>
    <w:p w:rsidR="00044CD5" w:rsidRDefault="00044CD5"/>
    <w:p w:rsidR="00044CD5" w:rsidRDefault="00044CD5"/>
    <w:p w:rsidR="00044CD5" w:rsidRDefault="00044CD5"/>
    <w:p w:rsidR="00044CD5" w:rsidRDefault="00044CD5"/>
    <w:p w:rsidR="00044CD5" w:rsidRDefault="00044CD5"/>
    <w:p w:rsidR="00044CD5" w:rsidRPr="001E0AF6" w:rsidRDefault="00044CD5" w:rsidP="00044CD5">
      <w:pPr>
        <w:jc w:val="both"/>
        <w:rPr>
          <w:color w:val="000000" w:themeColor="text1"/>
        </w:rPr>
      </w:pPr>
      <w:bookmarkStart w:id="0" w:name="_GoBack"/>
      <w:bookmarkEnd w:id="0"/>
    </w:p>
    <w:p w:rsidR="00044CD5" w:rsidRPr="001E0AF6" w:rsidRDefault="00044CD5" w:rsidP="00044CD5">
      <w:pPr>
        <w:jc w:val="both"/>
        <w:rPr>
          <w:b/>
          <w:color w:val="000000" w:themeColor="text1"/>
        </w:rPr>
      </w:pPr>
      <w:r w:rsidRPr="001E0AF6">
        <w:rPr>
          <w:b/>
          <w:color w:val="000000" w:themeColor="text1"/>
        </w:rPr>
        <w:t>Décision à commenter :</w:t>
      </w:r>
    </w:p>
    <w:p w:rsidR="00044CD5" w:rsidRPr="001E0AF6" w:rsidRDefault="00044CD5" w:rsidP="00044CD5">
      <w:pPr>
        <w:jc w:val="both"/>
        <w:rPr>
          <w:color w:val="000000" w:themeColor="text1"/>
        </w:rPr>
      </w:pPr>
    </w:p>
    <w:p w:rsidR="00044CD5" w:rsidRPr="001E0AF6" w:rsidRDefault="00044CD5" w:rsidP="00044CD5">
      <w:pPr>
        <w:jc w:val="both"/>
        <w:rPr>
          <w:color w:val="000000" w:themeColor="text1"/>
        </w:rPr>
      </w:pPr>
      <w:r w:rsidRPr="001E0AF6">
        <w:rPr>
          <w:color w:val="000000" w:themeColor="text1"/>
        </w:rPr>
        <w:t>CA Aix-en-Provence, 18 juillet 2024, n° 19/16987</w:t>
      </w:r>
    </w:p>
    <w:p w:rsidR="00044CD5" w:rsidRPr="001E0AF6" w:rsidRDefault="00044CD5" w:rsidP="00044CD5">
      <w:pPr>
        <w:jc w:val="both"/>
        <w:rPr>
          <w:color w:val="000000" w:themeColor="text1"/>
        </w:rPr>
      </w:pP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Exposé du litige</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M. et Mme [W</w:t>
      </w:r>
      <w:proofErr w:type="gramStart"/>
      <w:r w:rsidRPr="001E0AF6">
        <w:rPr>
          <w:color w:val="000000" w:themeColor="text1"/>
        </w:rPr>
        <w:t>](</w:t>
      </w:r>
      <w:proofErr w:type="gramEnd"/>
      <w:r w:rsidRPr="001E0AF6">
        <w:rPr>
          <w:color w:val="000000" w:themeColor="text1"/>
        </w:rPr>
        <w:t>les époux [W]), qui ont vécu pendant plus de trente ans en Indonésie, ont résolu au cours du printemps 2014 de revenir s'installer en France.</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 xml:space="preserve">Le 18 juin 2014, ils ont eu un entretien avec des représentants de la Caisse Régionale de Crédit Agricole Mutuel Alpes Provence (la CRCAM) et de la banque Indosuez </w:t>
      </w:r>
      <w:proofErr w:type="spellStart"/>
      <w:r w:rsidRPr="001E0AF6">
        <w:rPr>
          <w:color w:val="000000" w:themeColor="text1"/>
        </w:rPr>
        <w:t>Private</w:t>
      </w:r>
      <w:proofErr w:type="spellEnd"/>
      <w:r w:rsidRPr="001E0AF6">
        <w:rPr>
          <w:color w:val="000000" w:themeColor="text1"/>
        </w:rPr>
        <w:t xml:space="preserve"> Banking devenue CA Indosuez </w:t>
      </w:r>
      <w:proofErr w:type="spellStart"/>
      <w:r w:rsidRPr="001E0AF6">
        <w:rPr>
          <w:color w:val="000000" w:themeColor="text1"/>
        </w:rPr>
        <w:t>Wealth</w:t>
      </w:r>
      <w:proofErr w:type="spellEnd"/>
      <w:r w:rsidRPr="001E0AF6">
        <w:rPr>
          <w:color w:val="000000" w:themeColor="text1"/>
        </w:rPr>
        <w:t xml:space="preserve"> concernant la gestion future de leur patrimoine et de leurs avoirs détenus à l'étranger.</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 xml:space="preserve">A la suite de cet entretien et de plusieurs échanges avec les </w:t>
      </w:r>
      <w:proofErr w:type="gramStart"/>
      <w:r w:rsidRPr="001E0AF6">
        <w:rPr>
          <w:color w:val="000000" w:themeColor="text1"/>
        </w:rPr>
        <w:t>banques ,</w:t>
      </w:r>
      <w:proofErr w:type="gramEnd"/>
      <w:r w:rsidRPr="001E0AF6">
        <w:rPr>
          <w:color w:val="000000" w:themeColor="text1"/>
        </w:rPr>
        <w:t xml:space="preserve"> les époux [W] ont</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 ouvert le 16 décembre 2014 un compte titres et un compte support en euros dans les livres de la CRCAM sur lequel ont été rapatriés leurs avoirs situés en Indonésie</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 ouvert une compte devises libellé en dollars sur lequel a été rapatriée la somme de 2 210 130,75USD.</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Le 9 janvier 2015, M. [W] a souscrit par l'intermédiaire de la banque Indosuez un contrat d'assurance-vie dénommé 'Aster Excellence II auprès de la société Mondial Partenaire sur lequel il a procédé à un versement de 1 800 000</w:t>
      </w:r>
      <w:proofErr w:type="gramStart"/>
      <w:r w:rsidRPr="001E0AF6">
        <w:rPr>
          <w:color w:val="000000" w:themeColor="text1"/>
        </w:rPr>
        <w:t>€;</w:t>
      </w:r>
      <w:proofErr w:type="gramEnd"/>
      <w:r w:rsidRPr="001E0AF6">
        <w:rPr>
          <w:color w:val="000000" w:themeColor="text1"/>
        </w:rPr>
        <w:t xml:space="preserve"> il a opté pour que 72% des avoirs soient investis en unités de compte dont la valeur est corrélée à l'évolution des marchés financiers tandis que 28% des avoirs étaient </w:t>
      </w:r>
      <w:proofErr w:type="spellStart"/>
      <w:r w:rsidRPr="001E0AF6">
        <w:rPr>
          <w:color w:val="000000" w:themeColor="text1"/>
        </w:rPr>
        <w:t>afféctés</w:t>
      </w:r>
      <w:proofErr w:type="spellEnd"/>
      <w:r w:rsidRPr="001E0AF6">
        <w:rPr>
          <w:color w:val="000000" w:themeColor="text1"/>
        </w:rPr>
        <w:t xml:space="preserve"> à un support en euros.</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A cette même date, il a signé auprès de la banque Indosuez une convention de conseil financier relative au contrat d'assurance-vie.</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 xml:space="preserve">Le 12 janvier 2015, M. [W] a procédé </w:t>
      </w:r>
      <w:proofErr w:type="spellStart"/>
      <w:proofErr w:type="gramStart"/>
      <w:r w:rsidRPr="001E0AF6">
        <w:rPr>
          <w:color w:val="000000" w:themeColor="text1"/>
        </w:rPr>
        <w:t>a</w:t>
      </w:r>
      <w:proofErr w:type="spellEnd"/>
      <w:proofErr w:type="gramEnd"/>
      <w:r w:rsidRPr="001E0AF6">
        <w:rPr>
          <w:color w:val="000000" w:themeColor="text1"/>
        </w:rPr>
        <w:t xml:space="preserve"> une opération de change de dollars en euros, son compte étant crédité de la somme de 1 800 000€, cette somme étant destinée à alimenter le compte assurance-vie.</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Le 27 janvier 2015, M. [W] a procédé à l'ouverture de deux comptes titres, l'un en dollars, l'autre en euros, dans les livres de la banque Indosuez, au moyen desquels il a réalisé divers investissements en valeurs mobilières.</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Le 18 mai 2015, la CRCAM a proposé aux époux [W] d'investir dans des PME afin de réduire le montant de leur impôt de solidarité sur la fortune.</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Estimant que les deux banques avaient manqué à leurs obligations d'information, de conseil et de mise en garde, au regard, notamment, de leur situation d'</w:t>
      </w:r>
      <w:proofErr w:type="spellStart"/>
      <w:r w:rsidRPr="001E0AF6">
        <w:rPr>
          <w:color w:val="000000" w:themeColor="text1"/>
        </w:rPr>
        <w:t>impatriés</w:t>
      </w:r>
      <w:proofErr w:type="spellEnd"/>
      <w:r w:rsidRPr="001E0AF6">
        <w:rPr>
          <w:color w:val="000000" w:themeColor="text1"/>
        </w:rPr>
        <w:t>, les époux [W] les ont assignées, par acte d'huissier des 2 et 8 février 2018, devant le tribunal de commerce d'Aix-en-Provence en paiement de dommages et intérêts.</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Par jugement du 7 octobre 2019, assorti de l'exécution provisoire, le tribunal a</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lastRenderedPageBreak/>
        <w:t xml:space="preserve">- débouté la CRCAM et la banque Indosuez </w:t>
      </w:r>
      <w:proofErr w:type="spellStart"/>
      <w:r w:rsidRPr="001E0AF6">
        <w:rPr>
          <w:color w:val="000000" w:themeColor="text1"/>
        </w:rPr>
        <w:t>Private</w:t>
      </w:r>
      <w:proofErr w:type="spellEnd"/>
      <w:r w:rsidRPr="001E0AF6">
        <w:rPr>
          <w:color w:val="000000" w:themeColor="text1"/>
        </w:rPr>
        <w:t xml:space="preserve"> Banking devenue CA Indosuez </w:t>
      </w:r>
      <w:proofErr w:type="spellStart"/>
      <w:r w:rsidRPr="001E0AF6">
        <w:rPr>
          <w:color w:val="000000" w:themeColor="text1"/>
        </w:rPr>
        <w:t>Wealth</w:t>
      </w:r>
      <w:proofErr w:type="spellEnd"/>
      <w:r w:rsidRPr="001E0AF6">
        <w:rPr>
          <w:color w:val="000000" w:themeColor="text1"/>
        </w:rPr>
        <w:t xml:space="preserve"> de leur demande de rejet du rapport </w:t>
      </w:r>
      <w:proofErr w:type="gramStart"/>
      <w:r w:rsidRPr="001E0AF6">
        <w:rPr>
          <w:color w:val="000000" w:themeColor="text1"/>
        </w:rPr>
        <w:t>d'expertise(</w:t>
      </w:r>
      <w:proofErr w:type="gramEnd"/>
      <w:r w:rsidRPr="001E0AF6">
        <w:rPr>
          <w:color w:val="000000" w:themeColor="text1"/>
        </w:rPr>
        <w:t>établi par M. [R])</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 dit que la CRCAM et la banque Indosuez ont manqué à leur devoir d'information, de conseil et de mise en garde</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 condamné solidairement la CRCAM et la banque Indosuez à payer aux époux [W]</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 xml:space="preserve">+ la somme de 12 000€ à titre de dommages et </w:t>
      </w:r>
      <w:proofErr w:type="gramStart"/>
      <w:r w:rsidRPr="001E0AF6">
        <w:rPr>
          <w:color w:val="000000" w:themeColor="text1"/>
        </w:rPr>
        <w:t>intérêts(</w:t>
      </w:r>
      <w:proofErr w:type="gramEnd"/>
      <w:r w:rsidRPr="001E0AF6">
        <w:rPr>
          <w:color w:val="000000" w:themeColor="text1"/>
        </w:rPr>
        <w:t>correspondant aux seuls frais facturés par les deux banques pendant quatre ans)</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 celle de 5000€ au titre de l'</w:t>
      </w:r>
      <w:hyperlink r:id="rId4" w:tgtFrame="_blank" w:history="1">
        <w:r w:rsidRPr="001E0AF6">
          <w:rPr>
            <w:rStyle w:val="Lienhypertexte"/>
            <w:color w:val="000000" w:themeColor="text1"/>
            <w:u w:val="none"/>
            <w:bdr w:val="none" w:sz="0" w:space="0" w:color="auto" w:frame="1"/>
          </w:rPr>
          <w:t>article 700 du code de procédure civile</w:t>
        </w:r>
      </w:hyperlink>
      <w:r w:rsidRPr="001E0AF6">
        <w:rPr>
          <w:color w:val="000000" w:themeColor="text1"/>
        </w:rPr>
        <w:t>, outre les dépens de l'instance</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Par déclaration du 5 novembre 2019, les époux [W] ont relevé appel de ce jugement en ce que celui-ci a seulement condamné solidairement la CRCAM et la banque Indosuez au paiement de la somme de 12 000€ à titre de dommages et intérêts.</w:t>
      </w:r>
    </w:p>
    <w:p w:rsidR="00044CD5" w:rsidRPr="001E0AF6" w:rsidRDefault="00044CD5" w:rsidP="00044CD5">
      <w:pPr>
        <w:pStyle w:val="parafact"/>
        <w:spacing w:before="240" w:beforeAutospacing="0" w:after="240" w:afterAutospacing="0"/>
        <w:jc w:val="both"/>
        <w:rPr>
          <w:color w:val="000000" w:themeColor="text1"/>
        </w:rPr>
      </w:pPr>
      <w:r w:rsidRPr="001E0AF6">
        <w:rPr>
          <w:color w:val="000000" w:themeColor="text1"/>
        </w:rPr>
        <w:t>(…)</w:t>
      </w:r>
    </w:p>
    <w:p w:rsidR="00044CD5" w:rsidRPr="001E0AF6" w:rsidRDefault="00044CD5" w:rsidP="00044CD5">
      <w:pPr>
        <w:pStyle w:val="parafact"/>
        <w:spacing w:before="240" w:beforeAutospacing="0" w:after="240" w:afterAutospacing="0"/>
        <w:jc w:val="both"/>
        <w:rPr>
          <w:color w:val="000000" w:themeColor="text1"/>
        </w:rPr>
      </w:pPr>
    </w:p>
    <w:p w:rsidR="00044CD5" w:rsidRPr="001E0AF6" w:rsidRDefault="00044CD5" w:rsidP="00044CD5">
      <w:pPr>
        <w:pStyle w:val="paramotif"/>
        <w:spacing w:before="240" w:beforeAutospacing="0" w:after="240" w:afterAutospacing="0"/>
        <w:jc w:val="both"/>
        <w:rPr>
          <w:color w:val="000000" w:themeColor="text1"/>
        </w:rPr>
      </w:pPr>
      <w:bookmarkStart w:id="1" w:name="mark_30"/>
      <w:bookmarkEnd w:id="1"/>
      <w:r w:rsidRPr="001E0AF6">
        <w:rPr>
          <w:color w:val="000000" w:themeColor="text1"/>
        </w:rPr>
        <w:t>Motifs</w:t>
      </w:r>
    </w:p>
    <w:p w:rsidR="00044CD5" w:rsidRPr="001E0AF6" w:rsidRDefault="001E0AF6" w:rsidP="00044CD5">
      <w:pPr>
        <w:pStyle w:val="paramotif"/>
        <w:spacing w:before="240" w:beforeAutospacing="0" w:after="240" w:afterAutospacing="0"/>
        <w:jc w:val="both"/>
        <w:rPr>
          <w:color w:val="000000" w:themeColor="text1"/>
        </w:rPr>
      </w:pPr>
      <w:r w:rsidRPr="001E0AF6">
        <w:rPr>
          <w:color w:val="000000" w:themeColor="text1"/>
        </w:rPr>
        <w:t>(…)</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2. Sur la violation du devoir de mise en garde</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Il ressort des pièces produites aux débats et des échanges entre les parties que M. [W] était le principal interlocuteur des banques.</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Il n'est pas contesté que M. [W] contrôlait seul un compte titres ouvert dans les livres de la banque Pictet, à Singapour, dont le portefeuille valorisé au 30 avril 2014 à la somme de 1 531 505€, était investi à 92% en actions et composé de nombre de valeurs américaines, révélant ainsi que M. [W] avait la qualité d'opérateur averti, connaissant les mécanismes du marché boursier et des investissements en actions.</w:t>
      </w:r>
      <w:r w:rsidRPr="001E0AF6">
        <w:rPr>
          <w:rStyle w:val="apple-converted-space"/>
          <w:color w:val="000000" w:themeColor="text1"/>
        </w:rPr>
        <w:t> </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 xml:space="preserve">Cette circonstance est confirmée par le fait que lorsqu'il a rempli le 9 janvier 2015 le questionnaire </w:t>
      </w:r>
      <w:proofErr w:type="spellStart"/>
      <w:r w:rsidRPr="001E0AF6">
        <w:rPr>
          <w:color w:val="000000" w:themeColor="text1"/>
        </w:rPr>
        <w:t>Ceso</w:t>
      </w:r>
      <w:proofErr w:type="spellEnd"/>
      <w:r w:rsidRPr="001E0AF6">
        <w:rPr>
          <w:color w:val="000000" w:themeColor="text1"/>
        </w:rPr>
        <w:t xml:space="preserve"> (pièce n° 1, de la CRCAM) M. [W], retraité, qui avait dirigé la société </w:t>
      </w:r>
      <w:proofErr w:type="spellStart"/>
      <w:r w:rsidRPr="001E0AF6">
        <w:rPr>
          <w:color w:val="000000" w:themeColor="text1"/>
        </w:rPr>
        <w:t>Scrib</w:t>
      </w:r>
      <w:proofErr w:type="spellEnd"/>
      <w:r w:rsidRPr="001E0AF6">
        <w:rPr>
          <w:color w:val="000000" w:themeColor="text1"/>
        </w:rPr>
        <w:t xml:space="preserve"> La Maison de l'Indonésie, spécialisée dans la promotion, le négoce , l'assistance, le conseil dans tous les domaines ainsi que la prise de participation par achat, souscription apport, fusion dans toutes les sociétés immobilières, commerciales et industrielles ainsi que la gestion </w:t>
      </w:r>
      <w:proofErr w:type="spellStart"/>
      <w:r w:rsidRPr="001E0AF6">
        <w:rPr>
          <w:color w:val="000000" w:themeColor="text1"/>
        </w:rPr>
        <w:t>des</w:t>
      </w:r>
      <w:proofErr w:type="spellEnd"/>
      <w:r w:rsidRPr="001E0AF6">
        <w:rPr>
          <w:color w:val="000000" w:themeColor="text1"/>
        </w:rPr>
        <w:t xml:space="preserve"> ces participations, a indiqué détenir des actions, des OPCVM actions, des fonds communs de placement à risque, des produits relevant de la gestion alternative ou </w:t>
      </w:r>
      <w:proofErr w:type="spellStart"/>
      <w:r w:rsidRPr="001E0AF6">
        <w:rPr>
          <w:color w:val="000000" w:themeColor="text1"/>
        </w:rPr>
        <w:t>ou</w:t>
      </w:r>
      <w:proofErr w:type="spellEnd"/>
      <w:r w:rsidRPr="001E0AF6">
        <w:rPr>
          <w:color w:val="000000" w:themeColor="text1"/>
        </w:rPr>
        <w:t xml:space="preserve"> d'autres produits offrant une perspective de </w:t>
      </w:r>
      <w:proofErr w:type="spellStart"/>
      <w:r w:rsidRPr="001E0AF6">
        <w:rPr>
          <w:color w:val="000000" w:themeColor="text1"/>
        </w:rPr>
        <w:t>plus value</w:t>
      </w:r>
      <w:proofErr w:type="spellEnd"/>
      <w:r w:rsidRPr="001E0AF6">
        <w:rPr>
          <w:color w:val="000000" w:themeColor="text1"/>
        </w:rPr>
        <w:t xml:space="preserve"> associée à un risque moyen à fort de perte sur le capital; il a coché la case 'connaissance et expérience sur des produits avec un risque moyen à fort de perte de capital' ; Il a déclaré vouloir valoriser son patrimoine sur une période de placement de huit ans et plus et rechercher un potentiel de rendement élevé et accepter de ce fait de prendre un risque de perte significatif sur le capital investi. Son profil est défini dans ce questionnaire comme étant dynamique avec un minimum de 60% d'actions.</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lastRenderedPageBreak/>
        <w:t>Sa compétence en matière d'investissements est encore confirmée par le fait qu'il a créé en septembre 2020 une société dénommée 'Franco Asiatique de Coopération Industrielle, dont l'activité est le conseil pour les affaires et autres conseils de gestion.</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Ces éléments démontrent ainsi que M. [W], qui gérait seul les portefeuilles d'actions du couple [W] et souhaitait en conserver seul la maîtrise, avait la qualité d'opérateur averti de sorte que les banques, agissant en l'espèce en qualité de prestataires de services d'investissements, n'étaient pas tenus d'un devoir de mise en garde.</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3. Sur les obligations d'information et de conseil</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Ce que reprochent les époux [W] aux deux banques tient à l'inadéquation des conseils des prestataires de services d'investissements à leur situation d'</w:t>
      </w:r>
      <w:proofErr w:type="spellStart"/>
      <w:r w:rsidRPr="001E0AF6">
        <w:rPr>
          <w:color w:val="000000" w:themeColor="text1"/>
        </w:rPr>
        <w:t>impatriés</w:t>
      </w:r>
      <w:proofErr w:type="spellEnd"/>
      <w:r w:rsidRPr="001E0AF6">
        <w:rPr>
          <w:color w:val="000000" w:themeColor="text1"/>
        </w:rPr>
        <w:t xml:space="preserve"> et à la conversion de leurs fonds dans des placements aux fins de défiscalisations inopportuns, risqués et effectués à des dates inopportunes.</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 xml:space="preserve">Mais comme le soulignent les banques intimées, qui s'appuient sur les lettres circulaires du Commissariat aux assurances, applicables à la date des faits litigieux, la faculté qu'auraient eu les époux [W] de conserver, selon eux, leurs avoirs en devises étrangères en souscrivant un contrat d'assurance vie en dollars ou en multidevises au duché du Luxembourg est </w:t>
      </w:r>
      <w:proofErr w:type="spellStart"/>
      <w:r w:rsidRPr="001E0AF6">
        <w:rPr>
          <w:color w:val="000000" w:themeColor="text1"/>
        </w:rPr>
        <w:t>combatttue</w:t>
      </w:r>
      <w:proofErr w:type="spellEnd"/>
      <w:r w:rsidRPr="001E0AF6">
        <w:rPr>
          <w:color w:val="000000" w:themeColor="text1"/>
        </w:rPr>
        <w:t xml:space="preserve"> par le fait que les assureurs imposaient alors la délégation de la gestion de ces valeurs mobilières à un gestionnaire, refusant que les clients assument directement la gestion de leur portefeuille;</w:t>
      </w:r>
      <w:r w:rsidRPr="001E0AF6">
        <w:rPr>
          <w:rStyle w:val="apple-converted-space"/>
          <w:color w:val="000000" w:themeColor="text1"/>
        </w:rPr>
        <w:t> </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Informés de ces modes de gestion par la proposition d'investissement de la banque Indosuez du 10 décembre 2014, les époux [W] ont refusé cette option car M. [W] préférait conserver la mainmise sur ses placements et investissements en titres vifs.</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La proposition faite par les banques aux époux [W] de diversifier leurs investissements et de placer partie de leurs fonds sur un compte assurance-vie ouvert en France n'était donc pas en discordance avec la volonté de M. [W] de conserver la maîtrise de son portefeuille d'actions.</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 xml:space="preserve">D'ailleurs, au 30 septembre 2016, le contrat d'assurance-vie était valorisé à 1 625 977€, M. [W], pleinement aguerri en matière de placements financiers, ayant entre le 26 janvier 2015 et le 23 août 2018 réalisé 19 </w:t>
      </w:r>
      <w:proofErr w:type="gramStart"/>
      <w:r w:rsidRPr="001E0AF6">
        <w:rPr>
          <w:color w:val="000000" w:themeColor="text1"/>
        </w:rPr>
        <w:t>arbitrages(</w:t>
      </w:r>
      <w:proofErr w:type="gramEnd"/>
      <w:r w:rsidRPr="001E0AF6">
        <w:rPr>
          <w:color w:val="000000" w:themeColor="text1"/>
        </w:rPr>
        <w:t xml:space="preserve">pièce n° 8 de la société Indosuez) lui permettant d'obtenir des </w:t>
      </w:r>
      <w:proofErr w:type="spellStart"/>
      <w:r w:rsidRPr="001E0AF6">
        <w:rPr>
          <w:color w:val="000000" w:themeColor="text1"/>
        </w:rPr>
        <w:t>plus values</w:t>
      </w:r>
      <w:proofErr w:type="spellEnd"/>
      <w:r w:rsidRPr="001E0AF6">
        <w:rPr>
          <w:color w:val="000000" w:themeColor="text1"/>
        </w:rPr>
        <w:t xml:space="preserve"> significatives, 5000 actions Apple, acquises en mars 2015 au prix unitaire de 117€ ayant été revendues au prix de 184€ l'action.</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 xml:space="preserve">Les époux [W] ne peuvent invoquer le défaut d'information et de conseil des banques en raison du risque de dévalorisation des fonds au regard des variations du taux de change dollar/euro et de la décision que devait prendre la Banque Centrale Européenne relative au 'quantitative </w:t>
      </w:r>
      <w:proofErr w:type="spellStart"/>
      <w:r w:rsidRPr="001E0AF6">
        <w:rPr>
          <w:color w:val="000000" w:themeColor="text1"/>
        </w:rPr>
        <w:t>easing</w:t>
      </w:r>
      <w:proofErr w:type="spellEnd"/>
      <w:r w:rsidRPr="001E0AF6">
        <w:rPr>
          <w:color w:val="000000" w:themeColor="text1"/>
        </w:rPr>
        <w:t>' laquelle devait aboutit à une dévalorisation de l'euro.</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D'une part, les conclusions mêmes des époux [W](en page 21, 1er et 2e §) révèlent qu'ils avaient connaissance de l'imminence d'une décision de la BCE et du risque de retentissement sur le taux de change; l'aléa lié aux variations du taux de change dollar/euro était donc connu des appelants, au début de l'année 2015 et ce, quelle que soit le choix qu'ils allaient opérer pour l'investissement de leurs fonds ; d'autre part, les appelants, ne démontrent pas qu'ils étaient contraints d'agir dans la précipitation et de souscrire le placement en assurance vie litigieux.</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En revanche, si l'étude patrimoniale réalisée par la CRCAM évoque la situation fiscale des époux [W</w:t>
      </w:r>
      <w:proofErr w:type="gramStart"/>
      <w:r w:rsidRPr="001E0AF6">
        <w:rPr>
          <w:color w:val="000000" w:themeColor="text1"/>
        </w:rPr>
        <w:t>] ,</w:t>
      </w:r>
      <w:proofErr w:type="gramEnd"/>
      <w:r w:rsidRPr="001E0AF6">
        <w:rPr>
          <w:color w:val="000000" w:themeColor="text1"/>
        </w:rPr>
        <w:t xml:space="preserve"> elle est muette sur le fait que les époux [W] étaient éligibles aux dispositions de l'</w:t>
      </w:r>
      <w:r w:rsidRPr="001E0AF6">
        <w:rPr>
          <w:rStyle w:val="link"/>
          <w:color w:val="000000" w:themeColor="text1"/>
          <w:bdr w:val="none" w:sz="0" w:space="0" w:color="auto" w:frame="1"/>
        </w:rPr>
        <w:t>article 885 A 1°, alinéas 2 et 3 du code général des Impôts</w:t>
      </w:r>
      <w:r w:rsidRPr="001E0AF6">
        <w:rPr>
          <w:rStyle w:val="apple-converted-space"/>
          <w:color w:val="000000" w:themeColor="text1"/>
        </w:rPr>
        <w:t> </w:t>
      </w:r>
      <w:r w:rsidRPr="001E0AF6">
        <w:rPr>
          <w:color w:val="000000" w:themeColor="text1"/>
        </w:rPr>
        <w:t xml:space="preserve">leur permettant, en vertu de leur </w:t>
      </w:r>
      <w:r w:rsidRPr="001E0AF6">
        <w:rPr>
          <w:color w:val="000000" w:themeColor="text1"/>
        </w:rPr>
        <w:lastRenderedPageBreak/>
        <w:t>statut d'</w:t>
      </w:r>
      <w:proofErr w:type="spellStart"/>
      <w:r w:rsidRPr="001E0AF6">
        <w:rPr>
          <w:color w:val="000000" w:themeColor="text1"/>
        </w:rPr>
        <w:t>impatriés</w:t>
      </w:r>
      <w:proofErr w:type="spellEnd"/>
      <w:r w:rsidRPr="001E0AF6">
        <w:rPr>
          <w:color w:val="000000" w:themeColor="text1"/>
        </w:rPr>
        <w:t>, de bénéficier d'une exonération temporaire de l'ISF pendant cinq ans à compter de la date où ils avaient de nouveau fixé leur domicile en France. La proposition d'investissement transmise le 10 décembre 2014 par la société Indosuez est également muette sur ce point.</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 xml:space="preserve">Si en préambule de cette proposition, figure la mention suivant laquelle les éléments transmis - 'constituent des éléments de réflexion et non une consultation. Il est recommandé au lecteur de ne les mettre en </w:t>
      </w:r>
      <w:proofErr w:type="spellStart"/>
      <w:r w:rsidRPr="001E0AF6">
        <w:rPr>
          <w:color w:val="000000" w:themeColor="text1"/>
        </w:rPr>
        <w:t>oeuvre</w:t>
      </w:r>
      <w:proofErr w:type="spellEnd"/>
      <w:r w:rsidRPr="001E0AF6">
        <w:rPr>
          <w:color w:val="000000" w:themeColor="text1"/>
        </w:rPr>
        <w:t xml:space="preserve"> qu'après avoir recueilli l'opinion de ses propres conseils spécialisés en matière comptable, juridique et fiscale' -, cette clause ne saurait exonérer la société Indosuez </w:t>
      </w:r>
      <w:proofErr w:type="spellStart"/>
      <w:r w:rsidRPr="001E0AF6">
        <w:rPr>
          <w:color w:val="000000" w:themeColor="text1"/>
        </w:rPr>
        <w:t>des</w:t>
      </w:r>
      <w:proofErr w:type="spellEnd"/>
      <w:r w:rsidRPr="001E0AF6">
        <w:rPr>
          <w:color w:val="000000" w:themeColor="text1"/>
        </w:rPr>
        <w:t xml:space="preserve"> ses obligations d'information et de conseil.</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En effet, en présence de la situation particulière des époux [W], situation d'</w:t>
      </w:r>
      <w:proofErr w:type="spellStart"/>
      <w:r w:rsidRPr="001E0AF6">
        <w:rPr>
          <w:color w:val="000000" w:themeColor="text1"/>
        </w:rPr>
        <w:t>impatriés</w:t>
      </w:r>
      <w:proofErr w:type="spellEnd"/>
      <w:r w:rsidRPr="001E0AF6">
        <w:rPr>
          <w:color w:val="000000" w:themeColor="text1"/>
        </w:rPr>
        <w:t xml:space="preserve"> dont ils avaient connaissance, les deux banques, qui intervenaient l'une et l'autre en qualité de prestataires de services d'investissements, devaient rechercher si ceux-ci ne relevaient pas d'un statut particulier au regard des règles fiscales ou se renseigner sur l'existence de règles dérogatoires en la matière.</w:t>
      </w:r>
      <w:r w:rsidRPr="001E0AF6">
        <w:rPr>
          <w:rStyle w:val="apple-converted-space"/>
          <w:color w:val="000000" w:themeColor="text1"/>
        </w:rPr>
        <w:t> </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En omettant de le faire, les deux banques ont manqué à leurs obligations d'information et de conseil.</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Cependant, en ce qui concerne l'évaluation du préjudice, celui-ci ne consiste que dans la perte de la chance de pouvoir mieux investir les capitaux et en l'occurrence, la perte du choix d'opérer d'autres placements au regard du paramètre tiré du statut fiscal d'</w:t>
      </w:r>
      <w:proofErr w:type="spellStart"/>
      <w:r w:rsidRPr="001E0AF6">
        <w:rPr>
          <w:color w:val="000000" w:themeColor="text1"/>
        </w:rPr>
        <w:t>impatrié</w:t>
      </w:r>
      <w:proofErr w:type="spellEnd"/>
      <w:r w:rsidRPr="001E0AF6">
        <w:rPr>
          <w:color w:val="000000" w:themeColor="text1"/>
        </w:rPr>
        <w:t>.</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Les époux [W] ont fait établir le 11 mai 2021 un autre rapport amiable, relatif à l'évaluation de leurs dommages, par M. [P], commissaire aux comptes et conseil fiscal. Ce rapport a été produit aux débats et soumis à la libre discussion des parties.</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Ce technicien retient au regard de l'imposition à l'ISF non dû en raison du statut d'</w:t>
      </w:r>
      <w:proofErr w:type="spellStart"/>
      <w:r w:rsidRPr="001E0AF6">
        <w:rPr>
          <w:color w:val="000000" w:themeColor="text1"/>
        </w:rPr>
        <w:t>impatrié</w:t>
      </w:r>
      <w:proofErr w:type="spellEnd"/>
      <w:r w:rsidRPr="001E0AF6">
        <w:rPr>
          <w:color w:val="000000" w:themeColor="text1"/>
        </w:rPr>
        <w:t xml:space="preserve"> la somme de 41 560€. Toutefois, il déduit de cette somme celle de 27 448</w:t>
      </w:r>
      <w:proofErr w:type="gramStart"/>
      <w:r w:rsidRPr="001E0AF6">
        <w:rPr>
          <w:color w:val="000000" w:themeColor="text1"/>
        </w:rPr>
        <w:t>€ ,</w:t>
      </w:r>
      <w:proofErr w:type="gramEnd"/>
      <w:r w:rsidRPr="001E0AF6">
        <w:rPr>
          <w:color w:val="000000" w:themeColor="text1"/>
        </w:rPr>
        <w:t xml:space="preserve"> constatant que les investissements en PME proposés par la CRCAM ont allégé la charge fiscale des époux [W] à raison de 27 448€.</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Au regard de la seule faute retenue à l'encontre des banques au titre de leur manquement aux devoirs d'information et de conseil et de l'absence de lien de causalité entre les autres dommages allégués par les époux [W] et la faute retenue contre les banques, il y a lieu de limiter le préjudice subi par les appelants au titre de la perte de chance à la somme de 14 100€.</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 xml:space="preserve">Le jugement déféré sera donc infirmé de ce chef ; les banques seront condamnées in </w:t>
      </w:r>
      <w:proofErr w:type="spellStart"/>
      <w:r w:rsidRPr="001E0AF6">
        <w:rPr>
          <w:color w:val="000000" w:themeColor="text1"/>
        </w:rPr>
        <w:t>solidum</w:t>
      </w:r>
      <w:proofErr w:type="spellEnd"/>
      <w:r w:rsidRPr="001E0AF6">
        <w:rPr>
          <w:color w:val="000000" w:themeColor="text1"/>
        </w:rPr>
        <w:t xml:space="preserve"> à payer aux époux [W] la somme de 14 100€ à titre de dommages et intérêts avec intérêts au taux légal à compter du présent arrêt.</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Les frais de gestion dont les époux [W] réclament le remboursement sont inhérents aux frais de tenue des comptes et dénués de tout lien de causalité avec le préjudice né de la perte de chance ; le jugement ayant condamné les banques à payer au titre de ces frais la somme de 12 000€ sera infirmé de ce chef.</w:t>
      </w:r>
    </w:p>
    <w:p w:rsidR="00044CD5" w:rsidRPr="001E0AF6" w:rsidRDefault="00044CD5" w:rsidP="00044CD5">
      <w:pPr>
        <w:pStyle w:val="paramotif"/>
        <w:spacing w:before="240" w:beforeAutospacing="0" w:after="240" w:afterAutospacing="0"/>
        <w:jc w:val="both"/>
        <w:rPr>
          <w:color w:val="000000" w:themeColor="text1"/>
        </w:rPr>
      </w:pPr>
      <w:r w:rsidRPr="001E0AF6">
        <w:rPr>
          <w:color w:val="000000" w:themeColor="text1"/>
        </w:rPr>
        <w:t>En ce qui concerne les dépens, il convient de préciser que ceux-ci ne peuvent intégrer le coût des expertises amiables réalisées à la demande des époux [W].</w:t>
      </w:r>
    </w:p>
    <w:p w:rsidR="00044CD5" w:rsidRPr="001E0AF6" w:rsidRDefault="00044CD5" w:rsidP="00044CD5">
      <w:pPr>
        <w:pStyle w:val="paraorder"/>
        <w:spacing w:before="240" w:beforeAutospacing="0" w:after="240" w:afterAutospacing="0"/>
        <w:jc w:val="both"/>
        <w:rPr>
          <w:color w:val="000000" w:themeColor="text1"/>
        </w:rPr>
      </w:pPr>
      <w:bookmarkStart w:id="2" w:name="mark_40"/>
      <w:bookmarkEnd w:id="2"/>
      <w:r w:rsidRPr="001E0AF6">
        <w:rPr>
          <w:color w:val="000000" w:themeColor="text1"/>
        </w:rPr>
        <w:t>PAR CES MOTIFS</w:t>
      </w:r>
    </w:p>
    <w:p w:rsidR="00044CD5" w:rsidRPr="001E0AF6" w:rsidRDefault="00044CD5" w:rsidP="00044CD5">
      <w:pPr>
        <w:pStyle w:val="paraorder"/>
        <w:spacing w:before="240" w:beforeAutospacing="0" w:after="240" w:afterAutospacing="0"/>
        <w:jc w:val="both"/>
        <w:rPr>
          <w:color w:val="000000" w:themeColor="text1"/>
        </w:rPr>
      </w:pPr>
      <w:r w:rsidRPr="001E0AF6">
        <w:rPr>
          <w:color w:val="000000" w:themeColor="text1"/>
        </w:rPr>
        <w:lastRenderedPageBreak/>
        <w:t xml:space="preserve">Confirme, par motifs substitués, le jugement déféré, mais seulement en ce qu'il a dit que la Caisse Régionale de Crédit Agricole Mutuel Alpes Provence et la banque CA Indosuez </w:t>
      </w:r>
      <w:proofErr w:type="spellStart"/>
      <w:r w:rsidRPr="001E0AF6">
        <w:rPr>
          <w:color w:val="000000" w:themeColor="text1"/>
        </w:rPr>
        <w:t>Wealth</w:t>
      </w:r>
      <w:proofErr w:type="spellEnd"/>
      <w:r w:rsidRPr="001E0AF6">
        <w:rPr>
          <w:color w:val="000000" w:themeColor="text1"/>
        </w:rPr>
        <w:t>, devenue la société CA Indosuez, ont manqué à leur devoir d'information et de conseil et a condamné celles-ci au paiement de la somme de 5000€ au titre de l'</w:t>
      </w:r>
      <w:hyperlink r:id="rId5" w:tgtFrame="_blank" w:history="1">
        <w:r w:rsidRPr="001E0AF6">
          <w:rPr>
            <w:rStyle w:val="Lienhypertexte"/>
            <w:color w:val="000000" w:themeColor="text1"/>
            <w:u w:val="none"/>
            <w:bdr w:val="none" w:sz="0" w:space="0" w:color="auto" w:frame="1"/>
          </w:rPr>
          <w:t>article 700 du code de procédure civile</w:t>
        </w:r>
      </w:hyperlink>
      <w:r w:rsidRPr="001E0AF6">
        <w:rPr>
          <w:color w:val="000000" w:themeColor="text1"/>
        </w:rPr>
        <w:t>.</w:t>
      </w:r>
    </w:p>
    <w:p w:rsidR="00044CD5" w:rsidRPr="001E0AF6" w:rsidRDefault="00044CD5" w:rsidP="00044CD5">
      <w:pPr>
        <w:pStyle w:val="paraorder"/>
        <w:spacing w:before="240" w:beforeAutospacing="0" w:after="240" w:afterAutospacing="0"/>
        <w:jc w:val="both"/>
        <w:rPr>
          <w:color w:val="000000" w:themeColor="text1"/>
        </w:rPr>
      </w:pPr>
      <w:r w:rsidRPr="001E0AF6">
        <w:rPr>
          <w:color w:val="000000" w:themeColor="text1"/>
        </w:rPr>
        <w:t>Infirme le jugement déféré pour le surplus ;</w:t>
      </w:r>
    </w:p>
    <w:p w:rsidR="00044CD5" w:rsidRPr="001E0AF6" w:rsidRDefault="00044CD5" w:rsidP="00044CD5">
      <w:pPr>
        <w:pStyle w:val="paraorder"/>
        <w:spacing w:before="240" w:beforeAutospacing="0" w:after="240" w:afterAutospacing="0"/>
        <w:jc w:val="both"/>
        <w:rPr>
          <w:color w:val="000000" w:themeColor="text1"/>
        </w:rPr>
      </w:pPr>
      <w:r w:rsidRPr="001E0AF6">
        <w:rPr>
          <w:color w:val="000000" w:themeColor="text1"/>
        </w:rPr>
        <w:t>Statuant à nouveau ;</w:t>
      </w:r>
    </w:p>
    <w:p w:rsidR="00044CD5" w:rsidRPr="001E0AF6" w:rsidRDefault="00044CD5" w:rsidP="00044CD5">
      <w:pPr>
        <w:pStyle w:val="paraorder"/>
        <w:spacing w:before="240" w:beforeAutospacing="0" w:after="240" w:afterAutospacing="0"/>
        <w:jc w:val="both"/>
        <w:rPr>
          <w:color w:val="000000" w:themeColor="text1"/>
        </w:rPr>
      </w:pPr>
      <w:proofErr w:type="spellStart"/>
      <w:r w:rsidRPr="001E0AF6">
        <w:rPr>
          <w:color w:val="000000" w:themeColor="text1"/>
        </w:rPr>
        <w:t>Ecarte</w:t>
      </w:r>
      <w:proofErr w:type="spellEnd"/>
      <w:r w:rsidRPr="001E0AF6">
        <w:rPr>
          <w:color w:val="000000" w:themeColor="text1"/>
        </w:rPr>
        <w:t xml:space="preserve"> des débats le rapport d'expertise amiable établi par M. [R</w:t>
      </w:r>
      <w:proofErr w:type="gramStart"/>
      <w:r w:rsidRPr="001E0AF6">
        <w:rPr>
          <w:color w:val="000000" w:themeColor="text1"/>
        </w:rPr>
        <w:t>];</w:t>
      </w:r>
      <w:proofErr w:type="gramEnd"/>
    </w:p>
    <w:p w:rsidR="00044CD5" w:rsidRPr="001E0AF6" w:rsidRDefault="00044CD5" w:rsidP="00044CD5">
      <w:pPr>
        <w:pStyle w:val="paraorder"/>
        <w:spacing w:before="240" w:beforeAutospacing="0" w:after="240" w:afterAutospacing="0"/>
        <w:jc w:val="both"/>
        <w:rPr>
          <w:color w:val="000000" w:themeColor="text1"/>
        </w:rPr>
      </w:pPr>
      <w:r w:rsidRPr="001E0AF6">
        <w:rPr>
          <w:color w:val="000000" w:themeColor="text1"/>
        </w:rPr>
        <w:t>Déboute les époux [W] de leurs demandes formées au titre de la violation par les banques d'un devoir de mise en garde ;</w:t>
      </w:r>
    </w:p>
    <w:p w:rsidR="00044CD5" w:rsidRPr="001E0AF6" w:rsidRDefault="00044CD5" w:rsidP="00044CD5">
      <w:pPr>
        <w:pStyle w:val="paraorder"/>
        <w:spacing w:before="240" w:beforeAutospacing="0" w:after="240" w:afterAutospacing="0"/>
        <w:jc w:val="both"/>
        <w:rPr>
          <w:color w:val="000000" w:themeColor="text1"/>
        </w:rPr>
      </w:pPr>
      <w:r w:rsidRPr="001E0AF6">
        <w:rPr>
          <w:color w:val="000000" w:themeColor="text1"/>
        </w:rPr>
        <w:t xml:space="preserve">Condamne in </w:t>
      </w:r>
      <w:proofErr w:type="spellStart"/>
      <w:r w:rsidRPr="001E0AF6">
        <w:rPr>
          <w:color w:val="000000" w:themeColor="text1"/>
        </w:rPr>
        <w:t>solidum</w:t>
      </w:r>
      <w:proofErr w:type="spellEnd"/>
      <w:r w:rsidRPr="001E0AF6">
        <w:rPr>
          <w:color w:val="000000" w:themeColor="text1"/>
        </w:rPr>
        <w:t xml:space="preserve"> la Caisse Régionale de Crédit Agricole Mutuel Alpes Provence et la société CA Indosuez, au titre de leur manquement aux devoirs d'information et de conseil, à payer aux époux [W] la somme de 14 100 € à titre de dommages et intérêts avec intérêts au taux légal à compter du présent arrêt ;</w:t>
      </w:r>
    </w:p>
    <w:p w:rsidR="00044CD5" w:rsidRPr="001E0AF6" w:rsidRDefault="00044CD5" w:rsidP="00044CD5">
      <w:pPr>
        <w:pStyle w:val="paraorder"/>
        <w:spacing w:before="240" w:beforeAutospacing="0" w:after="240" w:afterAutospacing="0"/>
        <w:jc w:val="both"/>
        <w:rPr>
          <w:color w:val="000000" w:themeColor="text1"/>
        </w:rPr>
      </w:pPr>
      <w:r w:rsidRPr="001E0AF6">
        <w:rPr>
          <w:color w:val="000000" w:themeColor="text1"/>
        </w:rPr>
        <w:t>Déboute les époux [W] de leurs demandes en paiement des sommes de 206 697,53</w:t>
      </w:r>
      <w:proofErr w:type="gramStart"/>
      <w:r w:rsidRPr="001E0AF6">
        <w:rPr>
          <w:color w:val="000000" w:themeColor="text1"/>
        </w:rPr>
        <w:t>€ ,</w:t>
      </w:r>
      <w:proofErr w:type="gramEnd"/>
      <w:r w:rsidRPr="001E0AF6">
        <w:rPr>
          <w:color w:val="000000" w:themeColor="text1"/>
        </w:rPr>
        <w:t xml:space="preserve"> 3 722,40€ , 16 937,43€ , 46 781,58€ , 9 188€, 27 931,80€ et 65 103, 49€ à titre de dommages et intérêts ;</w:t>
      </w:r>
    </w:p>
    <w:p w:rsidR="00044CD5" w:rsidRPr="001E0AF6" w:rsidRDefault="00044CD5" w:rsidP="00044CD5">
      <w:pPr>
        <w:jc w:val="both"/>
        <w:rPr>
          <w:color w:val="000000" w:themeColor="text1"/>
        </w:rPr>
      </w:pPr>
    </w:p>
    <w:p w:rsidR="00044CD5" w:rsidRPr="001E0AF6" w:rsidRDefault="00044CD5">
      <w:pPr>
        <w:rPr>
          <w:color w:val="000000" w:themeColor="text1"/>
        </w:rPr>
      </w:pPr>
    </w:p>
    <w:sectPr w:rsidR="00044CD5" w:rsidRPr="001E0AF6" w:rsidSect="00B9023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29"/>
    <w:rsid w:val="00044CD5"/>
    <w:rsid w:val="000B67C6"/>
    <w:rsid w:val="001A4D90"/>
    <w:rsid w:val="001E0AF6"/>
    <w:rsid w:val="001E6BD5"/>
    <w:rsid w:val="00327969"/>
    <w:rsid w:val="00590CB0"/>
    <w:rsid w:val="006649AB"/>
    <w:rsid w:val="00786DAB"/>
    <w:rsid w:val="00945429"/>
    <w:rsid w:val="00B90231"/>
    <w:rsid w:val="00D928B9"/>
    <w:rsid w:val="00E13FA0"/>
    <w:rsid w:val="00EF6C91"/>
    <w:rsid w:val="00F0611F"/>
    <w:rsid w:val="00F23B4B"/>
    <w:rsid w:val="00F518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C6C6E38"/>
  <w14:defaultImageDpi w14:val="32767"/>
  <w15:chartTrackingRefBased/>
  <w15:docId w15:val="{290FD8BC-74C1-C942-8F0B-DE42CBF1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4CD5"/>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fact">
    <w:name w:val="parafact"/>
    <w:basedOn w:val="Normal"/>
    <w:rsid w:val="00044CD5"/>
    <w:pPr>
      <w:spacing w:before="100" w:beforeAutospacing="1" w:after="100" w:afterAutospacing="1"/>
    </w:pPr>
  </w:style>
  <w:style w:type="character" w:customStyle="1" w:styleId="srvrlnk">
    <w:name w:val="srvrlnk"/>
    <w:basedOn w:val="Policepardfaut"/>
    <w:rsid w:val="00044CD5"/>
  </w:style>
  <w:style w:type="character" w:styleId="Lienhypertexte">
    <w:name w:val="Hyperlink"/>
    <w:basedOn w:val="Policepardfaut"/>
    <w:uiPriority w:val="99"/>
    <w:semiHidden/>
    <w:unhideWhenUsed/>
    <w:rsid w:val="00044CD5"/>
    <w:rPr>
      <w:color w:val="0000FF"/>
      <w:u w:val="single"/>
    </w:rPr>
  </w:style>
  <w:style w:type="character" w:customStyle="1" w:styleId="apple-converted-space">
    <w:name w:val="apple-converted-space"/>
    <w:basedOn w:val="Policepardfaut"/>
    <w:rsid w:val="00044CD5"/>
  </w:style>
  <w:style w:type="paragraph" w:customStyle="1" w:styleId="paramotif">
    <w:name w:val="paramotif"/>
    <w:basedOn w:val="Normal"/>
    <w:rsid w:val="00044CD5"/>
    <w:pPr>
      <w:spacing w:before="100" w:beforeAutospacing="1" w:after="100" w:afterAutospacing="1"/>
    </w:pPr>
  </w:style>
  <w:style w:type="character" w:customStyle="1" w:styleId="link">
    <w:name w:val="link"/>
    <w:basedOn w:val="Policepardfaut"/>
    <w:rsid w:val="00044CD5"/>
  </w:style>
  <w:style w:type="paragraph" w:customStyle="1" w:styleId="paraorder">
    <w:name w:val="paraorder"/>
    <w:basedOn w:val="Normal"/>
    <w:rsid w:val="00044C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327170">
      <w:bodyDiv w:val="1"/>
      <w:marLeft w:val="0"/>
      <w:marRight w:val="0"/>
      <w:marTop w:val="0"/>
      <w:marBottom w:val="0"/>
      <w:divBdr>
        <w:top w:val="none" w:sz="0" w:space="0" w:color="auto"/>
        <w:left w:val="none" w:sz="0" w:space="0" w:color="auto"/>
        <w:bottom w:val="none" w:sz="0" w:space="0" w:color="auto"/>
        <w:right w:val="none" w:sz="0" w:space="0" w:color="auto"/>
      </w:divBdr>
      <w:divsChild>
        <w:div w:id="658534395">
          <w:marLeft w:val="0"/>
          <w:marRight w:val="0"/>
          <w:marTop w:val="480"/>
          <w:marBottom w:val="0"/>
          <w:divBdr>
            <w:top w:val="none" w:sz="0" w:space="0" w:color="auto"/>
            <w:left w:val="none" w:sz="0" w:space="0" w:color="auto"/>
            <w:bottom w:val="none" w:sz="0" w:space="0" w:color="auto"/>
            <w:right w:val="none" w:sz="0" w:space="0" w:color="auto"/>
          </w:divBdr>
        </w:div>
        <w:div w:id="696852820">
          <w:marLeft w:val="0"/>
          <w:marRight w:val="0"/>
          <w:marTop w:val="480"/>
          <w:marBottom w:val="0"/>
          <w:divBdr>
            <w:top w:val="none" w:sz="0" w:space="0" w:color="auto"/>
            <w:left w:val="none" w:sz="0" w:space="0" w:color="auto"/>
            <w:bottom w:val="none" w:sz="0" w:space="0" w:color="auto"/>
            <w:right w:val="none" w:sz="0" w:space="0" w:color="auto"/>
          </w:divBdr>
        </w:div>
        <w:div w:id="890506744">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xis360intelligence-fr.scd-rproxy.u-strasbg.fr/codes/Code_de_proc%C3%A9dure_civile/SLD-LEGITEXT000006070716/document/LG_SLD-LEGIARTI000045268436_0WJN?doc_type=sources_code&amp;source_nav=JU_KODCA-0362720_0KRJ&amp;source=renvoi" TargetMode="External"/><Relationship Id="rId4" Type="http://schemas.openxmlformats.org/officeDocument/2006/relationships/hyperlink" Target="https://www-lexis360intelligence-fr.scd-rproxy.u-strasbg.fr/codes/Code_de_proc%C3%A9dure_civile/SLD-LEGITEXT000006070716/document/LG_SLD-LEGIARTI000045268436_0WJN?doc_type=sources_code&amp;source_nav=JU_KODCA-0362720_0KRJ&amp;source=renvoi"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2162</Words>
  <Characters>11891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Lasserre  Capdeville</dc:creator>
  <cp:keywords/>
  <dc:description/>
  <cp:lastModifiedBy>Jérôme Lasserre  Capdeville</cp:lastModifiedBy>
  <cp:revision>3</cp:revision>
  <dcterms:created xsi:type="dcterms:W3CDTF">2025-11-23T10:04:00Z</dcterms:created>
  <dcterms:modified xsi:type="dcterms:W3CDTF">2025-11-23T10:18:00Z</dcterms:modified>
</cp:coreProperties>
</file>