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D0B2" w14:textId="0EEE050C" w:rsidR="00F7444F" w:rsidRPr="00F26D58" w:rsidRDefault="002223D4" w:rsidP="006C40A5">
      <w:pPr>
        <w:pStyle w:val="En-tte"/>
        <w:spacing w:line="276" w:lineRule="auto"/>
        <w:contextualSpacing/>
        <w:rPr>
          <w:rFonts w:ascii="Garamond" w:hAnsi="Garamond"/>
          <w:sz w:val="18"/>
          <w:szCs w:val="18"/>
        </w:rPr>
      </w:pPr>
      <w:r w:rsidRPr="00F26D58">
        <w:rPr>
          <w:rFonts w:ascii="Garamond" w:hAnsi="Garamond"/>
          <w:noProof/>
          <w:sz w:val="28"/>
          <w:szCs w:val="22"/>
          <w:lang w:val="en-GB" w:eastAsia="en-GB"/>
        </w:rPr>
        <w:drawing>
          <wp:anchor distT="0" distB="0" distL="114300" distR="114300" simplePos="0" relativeHeight="251659264" behindDoc="0" locked="0" layoutInCell="1" allowOverlap="1" wp14:anchorId="16F8F87F" wp14:editId="756485B7">
            <wp:simplePos x="0" y="0"/>
            <wp:positionH relativeFrom="margin">
              <wp:posOffset>2493010</wp:posOffset>
            </wp:positionH>
            <wp:positionV relativeFrom="margin">
              <wp:posOffset>133350</wp:posOffset>
            </wp:positionV>
            <wp:extent cx="770890" cy="7708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u or"/>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77089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58">
        <w:rPr>
          <w:noProof/>
          <w:lang w:val="en-GB" w:eastAsia="en-GB"/>
        </w:rPr>
        <w:drawing>
          <wp:anchor distT="0" distB="0" distL="114300" distR="114300" simplePos="0" relativeHeight="251665408" behindDoc="0" locked="0" layoutInCell="1" allowOverlap="1" wp14:anchorId="373BC8A5" wp14:editId="0A04F582">
            <wp:simplePos x="0" y="0"/>
            <wp:positionH relativeFrom="margin">
              <wp:posOffset>-414820</wp:posOffset>
            </wp:positionH>
            <wp:positionV relativeFrom="margin">
              <wp:posOffset>-281305</wp:posOffset>
            </wp:positionV>
            <wp:extent cx="1741170" cy="556260"/>
            <wp:effectExtent l="0" t="0" r="0" b="0"/>
            <wp:wrapSquare wrapText="bothSides"/>
            <wp:docPr id="3" name="Image 3" descr="Université Paris 1 Panthéon-Sorbonne - 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Paris 1 Panthéon-Sorbonne - ME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17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D58" w:rsidRPr="00F26D58">
        <w:rPr>
          <w:rFonts w:ascii="Garamond" w:hAnsi="Garamond"/>
          <w:noProof/>
          <w:sz w:val="28"/>
          <w:szCs w:val="22"/>
          <w:lang w:val="en-GB" w:eastAsia="en-GB"/>
        </w:rPr>
        <w:drawing>
          <wp:anchor distT="0" distB="0" distL="114300" distR="114300" simplePos="0" relativeHeight="251660288" behindDoc="0" locked="0" layoutInCell="1" allowOverlap="1" wp14:anchorId="0F7B179F" wp14:editId="09B2A767">
            <wp:simplePos x="0" y="0"/>
            <wp:positionH relativeFrom="margin">
              <wp:posOffset>5165725</wp:posOffset>
            </wp:positionH>
            <wp:positionV relativeFrom="margin">
              <wp:posOffset>-427962</wp:posOffset>
            </wp:positionV>
            <wp:extent cx="591185" cy="848995"/>
            <wp:effectExtent l="0" t="0" r="0" b="825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ro_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118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4F" w:rsidRPr="00F26D58">
        <w:rPr>
          <w:rFonts w:ascii="Garamond" w:hAnsi="Garamond"/>
          <w:sz w:val="18"/>
          <w:szCs w:val="18"/>
        </w:rPr>
        <w:t xml:space="preserve">                                                     </w:t>
      </w:r>
    </w:p>
    <w:p w14:paraId="7798EE30" w14:textId="32E0F9B8" w:rsidR="00F7444F" w:rsidRPr="00F26D58" w:rsidRDefault="00F7444F" w:rsidP="006C40A5">
      <w:pPr>
        <w:spacing w:line="276" w:lineRule="auto"/>
        <w:contextualSpacing/>
        <w:rPr>
          <w:rFonts w:ascii="Garamond" w:hAnsi="Garamond"/>
          <w:b/>
          <w:bCs/>
          <w:sz w:val="28"/>
          <w:szCs w:val="28"/>
        </w:rPr>
      </w:pPr>
    </w:p>
    <w:p w14:paraId="40F6AA1D" w14:textId="77777777" w:rsidR="00F7444F" w:rsidRPr="00F26D58" w:rsidRDefault="00F7444F" w:rsidP="006C40A5">
      <w:pPr>
        <w:spacing w:line="276" w:lineRule="auto"/>
        <w:contextualSpacing/>
        <w:rPr>
          <w:rFonts w:ascii="Garamond" w:hAnsi="Garamond"/>
          <w:b/>
          <w:bCs/>
          <w:sz w:val="28"/>
          <w:szCs w:val="28"/>
        </w:rPr>
      </w:pPr>
    </w:p>
    <w:p w14:paraId="69D3D898" w14:textId="77777777" w:rsidR="002223D4" w:rsidRDefault="002223D4" w:rsidP="006C40A5">
      <w:pPr>
        <w:spacing w:line="276" w:lineRule="auto"/>
        <w:contextualSpacing/>
        <w:jc w:val="center"/>
        <w:rPr>
          <w:rFonts w:ascii="Garamond" w:hAnsi="Garamond"/>
          <w:b/>
          <w:bCs/>
        </w:rPr>
      </w:pPr>
    </w:p>
    <w:p w14:paraId="68FAABDE" w14:textId="77777777" w:rsidR="002223D4" w:rsidRDefault="002223D4" w:rsidP="006C40A5">
      <w:pPr>
        <w:spacing w:line="276" w:lineRule="auto"/>
        <w:contextualSpacing/>
        <w:jc w:val="center"/>
        <w:rPr>
          <w:rFonts w:ascii="Garamond" w:hAnsi="Garamond"/>
          <w:b/>
          <w:bCs/>
        </w:rPr>
      </w:pPr>
    </w:p>
    <w:p w14:paraId="6671E9EC" w14:textId="77777777" w:rsidR="002223D4" w:rsidRDefault="002223D4" w:rsidP="006C40A5">
      <w:pPr>
        <w:spacing w:line="276" w:lineRule="auto"/>
        <w:contextualSpacing/>
        <w:jc w:val="center"/>
        <w:rPr>
          <w:rFonts w:ascii="Garamond" w:hAnsi="Garamond"/>
          <w:b/>
          <w:bCs/>
        </w:rPr>
      </w:pPr>
    </w:p>
    <w:p w14:paraId="51E8EBFB" w14:textId="73A04487" w:rsidR="00F7444F" w:rsidRPr="00F26D58" w:rsidRDefault="00F7444F" w:rsidP="006C40A5">
      <w:pPr>
        <w:spacing w:line="276" w:lineRule="auto"/>
        <w:contextualSpacing/>
        <w:jc w:val="center"/>
        <w:rPr>
          <w:rFonts w:ascii="Garamond" w:hAnsi="Garamond"/>
          <w:b/>
          <w:bCs/>
        </w:rPr>
      </w:pPr>
      <w:r w:rsidRPr="00F26D58">
        <w:rPr>
          <w:rFonts w:ascii="Garamond" w:hAnsi="Garamond"/>
          <w:b/>
          <w:bCs/>
        </w:rPr>
        <w:t>Institut de droit des affaires internationales</w:t>
      </w:r>
    </w:p>
    <w:p w14:paraId="6FB1E707" w14:textId="77777777" w:rsidR="00F7444F" w:rsidRPr="00F26D58" w:rsidRDefault="00F7444F" w:rsidP="006C40A5">
      <w:pPr>
        <w:spacing w:line="276" w:lineRule="auto"/>
        <w:contextualSpacing/>
        <w:jc w:val="center"/>
        <w:rPr>
          <w:rFonts w:ascii="Garamond" w:hAnsi="Garamond"/>
        </w:rPr>
      </w:pPr>
      <w:r w:rsidRPr="00F26D58">
        <w:rPr>
          <w:rFonts w:ascii="Garamond" w:hAnsi="Garamond"/>
        </w:rPr>
        <w:t>Université Paris 1 Panthéon-Sorbonne – Université du Caire</w:t>
      </w:r>
    </w:p>
    <w:p w14:paraId="29EAA733" w14:textId="41DE8E1D" w:rsidR="00F7444F" w:rsidRPr="00F26D58" w:rsidRDefault="00F7444F" w:rsidP="006C40A5">
      <w:pPr>
        <w:spacing w:line="276" w:lineRule="auto"/>
        <w:contextualSpacing/>
        <w:jc w:val="center"/>
        <w:rPr>
          <w:rFonts w:ascii="Garamond" w:hAnsi="Garamond"/>
        </w:rPr>
      </w:pPr>
    </w:p>
    <w:p w14:paraId="0BFDEAF4" w14:textId="77777777" w:rsidR="00F7444F" w:rsidRPr="00F26D58" w:rsidRDefault="00F7444F" w:rsidP="006C40A5">
      <w:pPr>
        <w:spacing w:line="276" w:lineRule="auto"/>
        <w:contextualSpacing/>
        <w:rPr>
          <w:rFonts w:ascii="Garamond" w:hAnsi="Garamond"/>
        </w:rPr>
      </w:pPr>
    </w:p>
    <w:p w14:paraId="160DC03A" w14:textId="77777777" w:rsidR="002223D4" w:rsidRDefault="002223D4" w:rsidP="006C40A5">
      <w:pPr>
        <w:spacing w:line="276" w:lineRule="auto"/>
        <w:contextualSpacing/>
        <w:jc w:val="center"/>
        <w:rPr>
          <w:rFonts w:ascii="Garamond" w:hAnsi="Garamond"/>
          <w:b/>
          <w:sz w:val="32"/>
          <w:szCs w:val="32"/>
        </w:rPr>
      </w:pPr>
    </w:p>
    <w:p w14:paraId="7E364C61" w14:textId="77777777" w:rsidR="002223D4" w:rsidRDefault="002223D4" w:rsidP="006C40A5">
      <w:pPr>
        <w:spacing w:line="276" w:lineRule="auto"/>
        <w:contextualSpacing/>
        <w:jc w:val="center"/>
        <w:rPr>
          <w:rFonts w:ascii="Garamond" w:hAnsi="Garamond"/>
          <w:b/>
          <w:sz w:val="32"/>
          <w:szCs w:val="32"/>
        </w:rPr>
      </w:pPr>
    </w:p>
    <w:p w14:paraId="118DBDC3" w14:textId="2F6CDBBA" w:rsidR="00863F68" w:rsidRPr="00F26D58" w:rsidRDefault="00863F68" w:rsidP="006C40A5">
      <w:pPr>
        <w:spacing w:line="276" w:lineRule="auto"/>
        <w:contextualSpacing/>
        <w:jc w:val="center"/>
        <w:rPr>
          <w:rFonts w:ascii="Garamond" w:hAnsi="Garamond"/>
          <w:b/>
          <w:sz w:val="32"/>
          <w:szCs w:val="32"/>
        </w:rPr>
      </w:pPr>
      <w:r w:rsidRPr="00F26D58">
        <w:rPr>
          <w:rFonts w:ascii="Garamond" w:hAnsi="Garamond"/>
          <w:b/>
          <w:sz w:val="32"/>
          <w:szCs w:val="32"/>
        </w:rPr>
        <w:t>DROIT ADMINISTRATIF – S2</w:t>
      </w:r>
    </w:p>
    <w:p w14:paraId="05B5AE45" w14:textId="0F9C31A0" w:rsidR="00863F68" w:rsidRPr="00F26D58" w:rsidRDefault="00863F68" w:rsidP="006C40A5">
      <w:pPr>
        <w:spacing w:line="276" w:lineRule="auto"/>
        <w:contextualSpacing/>
        <w:jc w:val="center"/>
        <w:rPr>
          <w:rFonts w:ascii="Garamond" w:hAnsi="Garamond"/>
          <w:b/>
          <w:sz w:val="32"/>
          <w:szCs w:val="32"/>
        </w:rPr>
      </w:pPr>
      <w:r w:rsidRPr="00F26D58">
        <w:rPr>
          <w:rFonts w:ascii="Garamond" w:hAnsi="Garamond"/>
          <w:b/>
          <w:sz w:val="32"/>
          <w:szCs w:val="32"/>
        </w:rPr>
        <w:t>202</w:t>
      </w:r>
      <w:r w:rsidR="003D2BA3">
        <w:rPr>
          <w:rFonts w:ascii="Garamond" w:hAnsi="Garamond"/>
          <w:b/>
          <w:sz w:val="32"/>
          <w:szCs w:val="32"/>
        </w:rPr>
        <w:t>4</w:t>
      </w:r>
      <w:r w:rsidR="00F7444F" w:rsidRPr="00F26D58">
        <w:rPr>
          <w:rFonts w:ascii="Garamond" w:hAnsi="Garamond"/>
          <w:b/>
          <w:sz w:val="32"/>
          <w:szCs w:val="32"/>
        </w:rPr>
        <w:t>-202</w:t>
      </w:r>
      <w:r w:rsidR="003D2BA3">
        <w:rPr>
          <w:rFonts w:ascii="Garamond" w:hAnsi="Garamond"/>
          <w:b/>
          <w:sz w:val="32"/>
          <w:szCs w:val="32"/>
        </w:rPr>
        <w:t>5</w:t>
      </w:r>
    </w:p>
    <w:p w14:paraId="25EB4B09" w14:textId="77777777" w:rsidR="00863F68" w:rsidRPr="00F26D58" w:rsidRDefault="00863F68" w:rsidP="006C40A5">
      <w:pPr>
        <w:spacing w:line="276" w:lineRule="auto"/>
        <w:contextualSpacing/>
        <w:rPr>
          <w:rFonts w:ascii="Garamond" w:hAnsi="Garamond"/>
        </w:rPr>
      </w:pPr>
    </w:p>
    <w:p w14:paraId="70E71819" w14:textId="6A29F7DF" w:rsidR="00045F8F" w:rsidRPr="00F26D58" w:rsidRDefault="00045F8F" w:rsidP="00045F8F">
      <w:pPr>
        <w:spacing w:line="276" w:lineRule="auto"/>
        <w:contextualSpacing/>
        <w:jc w:val="center"/>
        <w:rPr>
          <w:rFonts w:ascii="Garamond" w:hAnsi="Garamond"/>
        </w:rPr>
      </w:pPr>
    </w:p>
    <w:p w14:paraId="3B31B4D7" w14:textId="27E9B847" w:rsidR="00863F68" w:rsidRPr="00F26D58" w:rsidRDefault="00863F68" w:rsidP="006C40A5">
      <w:pPr>
        <w:spacing w:line="276" w:lineRule="auto"/>
        <w:contextualSpacing/>
        <w:rPr>
          <w:rFonts w:ascii="Garamond" w:hAnsi="Garamond"/>
          <w:i/>
          <w:iCs/>
        </w:rPr>
      </w:pPr>
    </w:p>
    <w:p w14:paraId="00A944BA" w14:textId="77777777" w:rsidR="00FF2D7A" w:rsidRPr="00F26D58" w:rsidRDefault="00FF2D7A" w:rsidP="006C40A5">
      <w:pPr>
        <w:spacing w:line="276" w:lineRule="auto"/>
        <w:contextualSpacing/>
        <w:rPr>
          <w:rFonts w:ascii="Garamond" w:hAnsi="Garamond"/>
        </w:rPr>
      </w:pPr>
    </w:p>
    <w:p w14:paraId="41F26987" w14:textId="77777777" w:rsidR="002223D4" w:rsidRDefault="002223D4" w:rsidP="006C40A5">
      <w:pPr>
        <w:spacing w:line="276" w:lineRule="auto"/>
        <w:contextualSpacing/>
        <w:jc w:val="center"/>
        <w:rPr>
          <w:rFonts w:ascii="Garamond" w:hAnsi="Garamond"/>
          <w:b/>
          <w:sz w:val="28"/>
          <w:szCs w:val="28"/>
          <w:u w:val="single"/>
        </w:rPr>
      </w:pPr>
    </w:p>
    <w:p w14:paraId="2669138F" w14:textId="7B647D34" w:rsidR="002223D4" w:rsidRDefault="003D6741" w:rsidP="006C40A5">
      <w:pPr>
        <w:spacing w:line="276" w:lineRule="auto"/>
        <w:contextualSpacing/>
        <w:jc w:val="center"/>
        <w:rPr>
          <w:rFonts w:ascii="Garamond" w:hAnsi="Garamond"/>
          <w:b/>
          <w:sz w:val="28"/>
          <w:szCs w:val="28"/>
          <w:u w:val="single"/>
        </w:rPr>
      </w:pPr>
      <w:r>
        <w:rPr>
          <w:rFonts w:ascii="Garamond" w:hAnsi="Garamond"/>
          <w:b/>
          <w:sz w:val="28"/>
          <w:szCs w:val="28"/>
          <w:u w:val="single"/>
        </w:rPr>
        <w:t xml:space="preserve">FICHE </w:t>
      </w:r>
      <w:r w:rsidR="00045F8F">
        <w:rPr>
          <w:rFonts w:ascii="Garamond" w:hAnsi="Garamond"/>
          <w:b/>
          <w:sz w:val="28"/>
          <w:szCs w:val="28"/>
          <w:u w:val="single"/>
        </w:rPr>
        <w:t>3</w:t>
      </w:r>
      <w:r w:rsidR="009C595A">
        <w:rPr>
          <w:rFonts w:ascii="Garamond" w:hAnsi="Garamond"/>
          <w:b/>
          <w:sz w:val="28"/>
          <w:szCs w:val="28"/>
          <w:u w:val="single"/>
        </w:rPr>
        <w:t xml:space="preserve"> </w:t>
      </w:r>
      <w:r w:rsidR="00863F68" w:rsidRPr="00F26D58">
        <w:rPr>
          <w:rFonts w:ascii="Garamond" w:hAnsi="Garamond"/>
          <w:b/>
          <w:sz w:val="28"/>
          <w:szCs w:val="28"/>
          <w:u w:val="single"/>
        </w:rPr>
        <w:t xml:space="preserve">: </w:t>
      </w:r>
    </w:p>
    <w:p w14:paraId="71FE179A" w14:textId="77777777" w:rsidR="002223D4" w:rsidRDefault="002223D4" w:rsidP="006C40A5">
      <w:pPr>
        <w:spacing w:line="276" w:lineRule="auto"/>
        <w:contextualSpacing/>
        <w:jc w:val="center"/>
        <w:rPr>
          <w:rFonts w:ascii="Garamond" w:hAnsi="Garamond"/>
          <w:b/>
          <w:sz w:val="28"/>
          <w:szCs w:val="28"/>
          <w:u w:val="single"/>
        </w:rPr>
      </w:pPr>
    </w:p>
    <w:p w14:paraId="0C33CD26" w14:textId="2F190F2E" w:rsidR="006D3E0D" w:rsidRPr="00F26D58" w:rsidRDefault="00F30F14" w:rsidP="006C40A5">
      <w:pPr>
        <w:spacing w:line="276" w:lineRule="auto"/>
        <w:contextualSpacing/>
        <w:jc w:val="center"/>
        <w:rPr>
          <w:rFonts w:ascii="Garamond" w:hAnsi="Garamond"/>
          <w:b/>
          <w:sz w:val="28"/>
          <w:szCs w:val="28"/>
          <w:u w:val="single"/>
        </w:rPr>
      </w:pPr>
      <w:r>
        <w:rPr>
          <w:rFonts w:ascii="Garamond" w:hAnsi="Garamond"/>
          <w:b/>
          <w:sz w:val="28"/>
          <w:szCs w:val="28"/>
          <w:u w:val="single"/>
        </w:rPr>
        <w:t xml:space="preserve">LES SOURCES </w:t>
      </w:r>
      <w:r w:rsidR="009C595A">
        <w:rPr>
          <w:rFonts w:ascii="Garamond" w:hAnsi="Garamond"/>
          <w:b/>
          <w:sz w:val="28"/>
          <w:szCs w:val="28"/>
          <w:u w:val="single"/>
        </w:rPr>
        <w:t xml:space="preserve">EUROPÉNNES </w:t>
      </w:r>
      <w:r>
        <w:rPr>
          <w:rFonts w:ascii="Garamond" w:hAnsi="Garamond"/>
          <w:b/>
          <w:sz w:val="28"/>
          <w:szCs w:val="28"/>
          <w:u w:val="single"/>
        </w:rPr>
        <w:t>DU DROIT ADMINISTRATIF</w:t>
      </w:r>
    </w:p>
    <w:p w14:paraId="75374AF1" w14:textId="1D5A2DC8" w:rsidR="009742C9" w:rsidRDefault="009742C9" w:rsidP="006C40A5">
      <w:pPr>
        <w:spacing w:line="276" w:lineRule="auto"/>
        <w:contextualSpacing/>
        <w:jc w:val="both"/>
        <w:rPr>
          <w:rFonts w:ascii="Garamond" w:hAnsi="Garamond"/>
          <w:b/>
          <w:bCs/>
        </w:rPr>
      </w:pPr>
    </w:p>
    <w:p w14:paraId="55CBF8C4" w14:textId="77777777" w:rsidR="00B93D40" w:rsidRDefault="00B93D40" w:rsidP="006C40A5">
      <w:pPr>
        <w:tabs>
          <w:tab w:val="left" w:pos="851"/>
        </w:tabs>
        <w:spacing w:line="276" w:lineRule="auto"/>
        <w:contextualSpacing/>
        <w:jc w:val="both"/>
        <w:rPr>
          <w:rFonts w:ascii="Garamond" w:hAnsi="Garamond"/>
          <w:b/>
          <w:bCs/>
        </w:rPr>
      </w:pPr>
    </w:p>
    <w:p w14:paraId="6E8174D2" w14:textId="77777777" w:rsidR="006B1BF4" w:rsidRDefault="006B1BF4" w:rsidP="006C40A5">
      <w:pPr>
        <w:spacing w:line="276" w:lineRule="auto"/>
        <w:contextualSpacing/>
        <w:rPr>
          <w:rFonts w:ascii="Garamond" w:hAnsi="Garamond"/>
          <w:b/>
          <w:bCs/>
        </w:rPr>
      </w:pPr>
      <w:r>
        <w:rPr>
          <w:rFonts w:ascii="Garamond" w:hAnsi="Garamond"/>
          <w:b/>
          <w:bCs/>
        </w:rPr>
        <w:br w:type="page"/>
      </w:r>
    </w:p>
    <w:p w14:paraId="29DECA15" w14:textId="1DA941CD" w:rsidR="00B93D40" w:rsidRPr="00B93D40" w:rsidRDefault="00B93D40" w:rsidP="006C40A5">
      <w:pPr>
        <w:pBdr>
          <w:top w:val="single" w:sz="4" w:space="1" w:color="auto"/>
          <w:left w:val="single" w:sz="4" w:space="4" w:color="auto"/>
          <w:bottom w:val="single" w:sz="4" w:space="1" w:color="auto"/>
          <w:right w:val="single" w:sz="4" w:space="4" w:color="auto"/>
        </w:pBdr>
        <w:tabs>
          <w:tab w:val="left" w:pos="851"/>
        </w:tabs>
        <w:spacing w:line="276" w:lineRule="auto"/>
        <w:contextualSpacing/>
        <w:jc w:val="center"/>
        <w:rPr>
          <w:rFonts w:ascii="Garamond" w:hAnsi="Garamond"/>
          <w:b/>
          <w:bCs/>
        </w:rPr>
      </w:pPr>
      <w:bookmarkStart w:id="0" w:name="_Hlk125098692"/>
      <w:r w:rsidRPr="00B93D40">
        <w:rPr>
          <w:rFonts w:ascii="Garamond" w:hAnsi="Garamond"/>
          <w:b/>
          <w:bCs/>
        </w:rPr>
        <w:lastRenderedPageBreak/>
        <w:t>I.</w:t>
      </w:r>
      <w:r>
        <w:rPr>
          <w:rFonts w:ascii="Garamond" w:hAnsi="Garamond"/>
          <w:b/>
          <w:bCs/>
        </w:rPr>
        <w:t xml:space="preserve"> </w:t>
      </w:r>
      <w:bookmarkEnd w:id="0"/>
      <w:r w:rsidR="006C40A5">
        <w:rPr>
          <w:rFonts w:ascii="Garamond" w:hAnsi="Garamond"/>
          <w:b/>
          <w:bCs/>
        </w:rPr>
        <w:t>Le droit de l’Union européenne</w:t>
      </w:r>
    </w:p>
    <w:p w14:paraId="42F7D64C" w14:textId="16918DCD" w:rsidR="00B93D40" w:rsidRDefault="00B93D40" w:rsidP="006C40A5">
      <w:pPr>
        <w:tabs>
          <w:tab w:val="left" w:pos="851"/>
        </w:tabs>
        <w:spacing w:line="276" w:lineRule="auto"/>
        <w:contextualSpacing/>
        <w:jc w:val="both"/>
        <w:rPr>
          <w:rFonts w:ascii="Garamond" w:hAnsi="Garamond"/>
          <w:b/>
          <w:bCs/>
        </w:rPr>
      </w:pPr>
    </w:p>
    <w:p w14:paraId="68F9C0AB" w14:textId="77777777" w:rsidR="000E33BC" w:rsidRDefault="000E33BC" w:rsidP="006C40A5">
      <w:pPr>
        <w:tabs>
          <w:tab w:val="left" w:pos="851"/>
        </w:tabs>
        <w:spacing w:line="276" w:lineRule="auto"/>
        <w:contextualSpacing/>
        <w:jc w:val="both"/>
        <w:rPr>
          <w:rFonts w:ascii="Garamond" w:hAnsi="Garamond"/>
          <w:b/>
          <w:bCs/>
        </w:rPr>
      </w:pPr>
    </w:p>
    <w:p w14:paraId="4DC1CE32" w14:textId="753397E9" w:rsidR="00950C91" w:rsidRDefault="00950C91" w:rsidP="006C40A5">
      <w:pPr>
        <w:tabs>
          <w:tab w:val="left" w:pos="851"/>
        </w:tabs>
        <w:spacing w:line="276" w:lineRule="auto"/>
        <w:contextualSpacing/>
        <w:jc w:val="both"/>
        <w:rPr>
          <w:rFonts w:ascii="Garamond" w:hAnsi="Garamond"/>
        </w:rPr>
      </w:pPr>
      <w:r w:rsidRPr="009742C9">
        <w:rPr>
          <w:rFonts w:ascii="Garamond" w:hAnsi="Garamond"/>
          <w:b/>
          <w:bCs/>
        </w:rPr>
        <w:t xml:space="preserve">DOCUMENT </w:t>
      </w:r>
      <w:r>
        <w:rPr>
          <w:rFonts w:ascii="Garamond" w:hAnsi="Garamond"/>
          <w:b/>
          <w:bCs/>
        </w:rPr>
        <w:t xml:space="preserve">1 : </w:t>
      </w:r>
      <w:r w:rsidR="006C40A5" w:rsidRPr="006C40A5">
        <w:rPr>
          <w:rFonts w:ascii="Garamond" w:hAnsi="Garamond"/>
        </w:rPr>
        <w:t xml:space="preserve">Article 288 </w:t>
      </w:r>
      <w:r w:rsidR="006C40A5">
        <w:rPr>
          <w:rFonts w:ascii="Garamond" w:hAnsi="Garamond"/>
        </w:rPr>
        <w:t xml:space="preserve">du </w:t>
      </w:r>
      <w:r w:rsidR="006C40A5" w:rsidRPr="006C40A5">
        <w:rPr>
          <w:rFonts w:ascii="Garamond" w:hAnsi="Garamond"/>
        </w:rPr>
        <w:t>Traité sur le fonctionnement de l’Union européenne.</w:t>
      </w:r>
    </w:p>
    <w:p w14:paraId="1E85E430" w14:textId="77777777" w:rsidR="00271CFC" w:rsidRPr="00950C91" w:rsidRDefault="00271CFC" w:rsidP="006C40A5">
      <w:pPr>
        <w:tabs>
          <w:tab w:val="left" w:pos="851"/>
        </w:tabs>
        <w:spacing w:line="276" w:lineRule="auto"/>
        <w:contextualSpacing/>
        <w:jc w:val="both"/>
        <w:rPr>
          <w:rFonts w:ascii="Garamond" w:hAnsi="Garamond"/>
          <w:b/>
          <w:bCs/>
        </w:rPr>
      </w:pPr>
    </w:p>
    <w:p w14:paraId="1F101FFE" w14:textId="4B0B5B24" w:rsidR="00950C91" w:rsidRDefault="00950C91" w:rsidP="00C33620">
      <w:pPr>
        <w:tabs>
          <w:tab w:val="left" w:pos="851"/>
        </w:tabs>
        <w:spacing w:line="276" w:lineRule="auto"/>
        <w:contextualSpacing/>
        <w:jc w:val="both"/>
        <w:rPr>
          <w:rFonts w:ascii="Garamond" w:hAnsi="Garamond"/>
        </w:rPr>
      </w:pPr>
      <w:r w:rsidRPr="009742C9">
        <w:rPr>
          <w:rFonts w:ascii="Garamond" w:hAnsi="Garamond"/>
          <w:b/>
          <w:bCs/>
        </w:rPr>
        <w:t xml:space="preserve">DOCUMENT </w:t>
      </w:r>
      <w:r>
        <w:rPr>
          <w:rFonts w:ascii="Garamond" w:hAnsi="Garamond"/>
          <w:b/>
          <w:bCs/>
        </w:rPr>
        <w:t>2</w:t>
      </w:r>
      <w:r w:rsidRPr="009742C9">
        <w:rPr>
          <w:rFonts w:ascii="Garamond" w:hAnsi="Garamond"/>
        </w:rPr>
        <w:t> :</w:t>
      </w:r>
      <w:r w:rsidR="00C33620">
        <w:rPr>
          <w:rFonts w:ascii="Garamond" w:hAnsi="Garamond"/>
        </w:rPr>
        <w:t xml:space="preserve"> « </w:t>
      </w:r>
      <w:r w:rsidR="00C33620" w:rsidRPr="00C33620">
        <w:rPr>
          <w:rFonts w:ascii="Garamond" w:hAnsi="Garamond"/>
        </w:rPr>
        <w:t>Le juge administratif et le droit de l'Union Européenne</w:t>
      </w:r>
      <w:r w:rsidR="00C33620">
        <w:rPr>
          <w:rFonts w:ascii="Garamond" w:hAnsi="Garamond"/>
        </w:rPr>
        <w:t xml:space="preserve"> », </w:t>
      </w:r>
      <w:r w:rsidR="00C33620" w:rsidRPr="00C33620">
        <w:rPr>
          <w:rFonts w:ascii="Garamond" w:hAnsi="Garamond"/>
        </w:rPr>
        <w:t>Les dossiers thématiques du Conseil d'État, 2015</w:t>
      </w:r>
      <w:r w:rsidR="00C33620">
        <w:rPr>
          <w:rFonts w:ascii="Garamond" w:hAnsi="Garamond"/>
        </w:rPr>
        <w:t>.</w:t>
      </w:r>
    </w:p>
    <w:p w14:paraId="104D4B88" w14:textId="005754EF" w:rsidR="00F57C6E" w:rsidRDefault="00F57C6E" w:rsidP="00F57C6E">
      <w:pPr>
        <w:tabs>
          <w:tab w:val="left" w:pos="851"/>
        </w:tabs>
        <w:spacing w:line="276" w:lineRule="auto"/>
        <w:contextualSpacing/>
        <w:jc w:val="both"/>
        <w:rPr>
          <w:rFonts w:ascii="Garamond" w:hAnsi="Garamond"/>
        </w:rPr>
      </w:pPr>
    </w:p>
    <w:p w14:paraId="1ACB0DCB" w14:textId="3B90242A" w:rsidR="00F57C6E" w:rsidRPr="006C40A5" w:rsidRDefault="00F57C6E" w:rsidP="00F57C6E">
      <w:pPr>
        <w:spacing w:line="276" w:lineRule="auto"/>
        <w:contextualSpacing/>
        <w:rPr>
          <w:rFonts w:ascii="Garamond" w:hAnsi="Garamond"/>
          <w:b/>
          <w:bCs/>
        </w:rPr>
      </w:pPr>
      <w:r>
        <w:rPr>
          <w:rFonts w:ascii="Garamond" w:hAnsi="Garamond"/>
          <w:b/>
          <w:bCs/>
        </w:rPr>
        <w:t xml:space="preserve">DOCUMENT </w:t>
      </w:r>
      <w:r w:rsidR="007B6C9F">
        <w:rPr>
          <w:rFonts w:ascii="Garamond" w:hAnsi="Garamond"/>
          <w:b/>
          <w:bCs/>
        </w:rPr>
        <w:t>3</w:t>
      </w:r>
      <w:r>
        <w:rPr>
          <w:rFonts w:ascii="Garamond" w:hAnsi="Garamond"/>
          <w:b/>
          <w:bCs/>
        </w:rPr>
        <w:t xml:space="preserve"> : </w:t>
      </w:r>
      <w:r w:rsidRPr="006C40A5">
        <w:rPr>
          <w:rFonts w:ascii="Garamond" w:hAnsi="Garamond"/>
        </w:rPr>
        <w:t xml:space="preserve">Conseil d’État, 21 avril 2021, </w:t>
      </w:r>
      <w:r w:rsidRPr="006C40A5">
        <w:rPr>
          <w:rFonts w:ascii="Garamond" w:hAnsi="Garamond"/>
          <w:i/>
          <w:iCs/>
        </w:rPr>
        <w:t>Association French Data Network</w:t>
      </w:r>
      <w:r>
        <w:rPr>
          <w:rFonts w:ascii="Garamond" w:hAnsi="Garamond"/>
          <w:i/>
          <w:iCs/>
        </w:rPr>
        <w:t>.</w:t>
      </w:r>
    </w:p>
    <w:p w14:paraId="14864965" w14:textId="1541FFCB" w:rsidR="00271CFC" w:rsidRDefault="00271CFC" w:rsidP="006C40A5">
      <w:pPr>
        <w:tabs>
          <w:tab w:val="left" w:pos="851"/>
        </w:tabs>
        <w:spacing w:line="276" w:lineRule="auto"/>
        <w:contextualSpacing/>
        <w:jc w:val="both"/>
        <w:rPr>
          <w:rFonts w:ascii="Garamond" w:hAnsi="Garamond"/>
        </w:rPr>
      </w:pPr>
    </w:p>
    <w:p w14:paraId="1FFED2EF" w14:textId="0DEED98B" w:rsidR="009A2754" w:rsidRDefault="009A2754" w:rsidP="006C40A5">
      <w:pPr>
        <w:tabs>
          <w:tab w:val="left" w:pos="851"/>
        </w:tabs>
        <w:spacing w:line="276" w:lineRule="auto"/>
        <w:contextualSpacing/>
        <w:jc w:val="both"/>
        <w:rPr>
          <w:rFonts w:ascii="Garamond" w:hAnsi="Garamond"/>
        </w:rPr>
      </w:pPr>
    </w:p>
    <w:p w14:paraId="1F1C5E3F" w14:textId="002629BC" w:rsidR="009A2754" w:rsidRPr="009A2754" w:rsidRDefault="009A2754" w:rsidP="006C40A5">
      <w:pPr>
        <w:pBdr>
          <w:top w:val="single" w:sz="4" w:space="1" w:color="auto"/>
          <w:left w:val="single" w:sz="4" w:space="4" w:color="auto"/>
          <w:bottom w:val="single" w:sz="4" w:space="1" w:color="auto"/>
          <w:right w:val="single" w:sz="4" w:space="4" w:color="auto"/>
        </w:pBdr>
        <w:tabs>
          <w:tab w:val="left" w:pos="851"/>
        </w:tabs>
        <w:spacing w:line="276" w:lineRule="auto"/>
        <w:contextualSpacing/>
        <w:jc w:val="center"/>
        <w:rPr>
          <w:rFonts w:ascii="Garamond" w:hAnsi="Garamond"/>
          <w:b/>
          <w:bCs/>
        </w:rPr>
      </w:pPr>
      <w:r w:rsidRPr="009A2754">
        <w:rPr>
          <w:rFonts w:ascii="Garamond" w:hAnsi="Garamond"/>
          <w:b/>
          <w:bCs/>
        </w:rPr>
        <w:t xml:space="preserve">II. </w:t>
      </w:r>
      <w:r w:rsidR="006C40A5">
        <w:rPr>
          <w:rFonts w:ascii="Garamond" w:hAnsi="Garamond"/>
          <w:b/>
          <w:bCs/>
        </w:rPr>
        <w:t>Le contrôle des lois et règlements de transposition des directives européennes</w:t>
      </w:r>
    </w:p>
    <w:p w14:paraId="56FCAEC4" w14:textId="75415D9C" w:rsidR="009A2754" w:rsidRDefault="009A2754" w:rsidP="006C40A5">
      <w:pPr>
        <w:tabs>
          <w:tab w:val="left" w:pos="851"/>
        </w:tabs>
        <w:spacing w:line="276" w:lineRule="auto"/>
        <w:contextualSpacing/>
        <w:jc w:val="both"/>
        <w:rPr>
          <w:rFonts w:ascii="Garamond" w:hAnsi="Garamond"/>
        </w:rPr>
      </w:pPr>
    </w:p>
    <w:p w14:paraId="67B12C1F" w14:textId="77777777" w:rsidR="002D09F1" w:rsidRDefault="002D09F1" w:rsidP="006C40A5">
      <w:pPr>
        <w:tabs>
          <w:tab w:val="left" w:pos="851"/>
        </w:tabs>
        <w:spacing w:line="276" w:lineRule="auto"/>
        <w:contextualSpacing/>
        <w:jc w:val="both"/>
        <w:rPr>
          <w:rFonts w:ascii="Garamond" w:hAnsi="Garamond"/>
        </w:rPr>
      </w:pPr>
    </w:p>
    <w:p w14:paraId="2178DF32" w14:textId="5337C645" w:rsidR="002D09F1" w:rsidRDefault="002D09F1" w:rsidP="006C40A5">
      <w:pPr>
        <w:tabs>
          <w:tab w:val="left" w:pos="851"/>
        </w:tabs>
        <w:spacing w:line="276" w:lineRule="auto"/>
        <w:contextualSpacing/>
        <w:jc w:val="both"/>
        <w:rPr>
          <w:rFonts w:ascii="Garamond" w:hAnsi="Garamond"/>
          <w:b/>
          <w:bCs/>
        </w:rPr>
      </w:pPr>
      <w:r>
        <w:rPr>
          <w:rFonts w:ascii="Garamond" w:hAnsi="Garamond"/>
          <w:b/>
          <w:bCs/>
        </w:rPr>
        <w:t xml:space="preserve">DOCUMENT </w:t>
      </w:r>
      <w:r w:rsidR="007B6C9F">
        <w:rPr>
          <w:rFonts w:ascii="Garamond" w:hAnsi="Garamond"/>
          <w:b/>
          <w:bCs/>
        </w:rPr>
        <w:t>4</w:t>
      </w:r>
      <w:r>
        <w:rPr>
          <w:rFonts w:ascii="Garamond" w:hAnsi="Garamond"/>
          <w:b/>
          <w:bCs/>
        </w:rPr>
        <w:t xml:space="preserve"> : </w:t>
      </w:r>
      <w:r w:rsidRPr="002D09F1">
        <w:rPr>
          <w:rFonts w:ascii="Garamond" w:hAnsi="Garamond"/>
        </w:rPr>
        <w:t xml:space="preserve">Conseil d’État, 8 février 2007, </w:t>
      </w:r>
      <w:r w:rsidRPr="002D09F1">
        <w:rPr>
          <w:rFonts w:ascii="Garamond" w:hAnsi="Garamond"/>
          <w:i/>
          <w:iCs/>
        </w:rPr>
        <w:t>Société Arcelor.</w:t>
      </w:r>
    </w:p>
    <w:p w14:paraId="245700E3" w14:textId="38C9C847" w:rsidR="009A2754" w:rsidRDefault="009A2754" w:rsidP="006C40A5">
      <w:pPr>
        <w:tabs>
          <w:tab w:val="left" w:pos="851"/>
        </w:tabs>
        <w:spacing w:line="276" w:lineRule="auto"/>
        <w:contextualSpacing/>
        <w:jc w:val="both"/>
        <w:rPr>
          <w:rFonts w:ascii="Garamond" w:hAnsi="Garamond"/>
        </w:rPr>
      </w:pPr>
    </w:p>
    <w:p w14:paraId="30150E08" w14:textId="622E806F" w:rsidR="009A2754" w:rsidRDefault="009A2754" w:rsidP="006C40A5">
      <w:pPr>
        <w:tabs>
          <w:tab w:val="left" w:pos="851"/>
        </w:tabs>
        <w:spacing w:line="276" w:lineRule="auto"/>
        <w:contextualSpacing/>
        <w:jc w:val="both"/>
        <w:rPr>
          <w:rFonts w:ascii="Garamond" w:hAnsi="Garamond"/>
        </w:rPr>
      </w:pPr>
      <w:r w:rsidRPr="009A2754">
        <w:rPr>
          <w:rFonts w:ascii="Garamond" w:hAnsi="Garamond"/>
          <w:b/>
          <w:bCs/>
        </w:rPr>
        <w:t xml:space="preserve">DOCUMENT </w:t>
      </w:r>
      <w:r w:rsidR="007B6C9F">
        <w:rPr>
          <w:rFonts w:ascii="Garamond" w:hAnsi="Garamond"/>
          <w:b/>
          <w:bCs/>
        </w:rPr>
        <w:t>5</w:t>
      </w:r>
      <w:r>
        <w:rPr>
          <w:rFonts w:ascii="Garamond" w:hAnsi="Garamond"/>
        </w:rPr>
        <w:t xml:space="preserve"> : </w:t>
      </w:r>
      <w:r w:rsidR="002D09F1" w:rsidRPr="002D09F1">
        <w:rPr>
          <w:rFonts w:ascii="Garamond" w:hAnsi="Garamond"/>
        </w:rPr>
        <w:t>C</w:t>
      </w:r>
      <w:r w:rsidR="002D09F1">
        <w:rPr>
          <w:rFonts w:ascii="Garamond" w:hAnsi="Garamond"/>
        </w:rPr>
        <w:t>onseil constitutionnel,</w:t>
      </w:r>
      <w:r w:rsidR="002D09F1" w:rsidRPr="002D09F1">
        <w:rPr>
          <w:rFonts w:ascii="Garamond" w:hAnsi="Garamond"/>
        </w:rPr>
        <w:t xml:space="preserve"> </w:t>
      </w:r>
      <w:r w:rsidR="00EE59ED">
        <w:rPr>
          <w:rFonts w:ascii="Garamond" w:hAnsi="Garamond"/>
        </w:rPr>
        <w:t xml:space="preserve">Décision QPC du </w:t>
      </w:r>
      <w:r w:rsidR="002D09F1">
        <w:rPr>
          <w:rFonts w:ascii="Garamond" w:hAnsi="Garamond"/>
        </w:rPr>
        <w:t xml:space="preserve">15 octobre </w:t>
      </w:r>
      <w:r w:rsidR="002D09F1" w:rsidRPr="002D09F1">
        <w:rPr>
          <w:rFonts w:ascii="Garamond" w:hAnsi="Garamond"/>
        </w:rPr>
        <w:t xml:space="preserve">2021, </w:t>
      </w:r>
      <w:r w:rsidR="002D09F1" w:rsidRPr="002D09F1">
        <w:rPr>
          <w:rFonts w:ascii="Garamond" w:hAnsi="Garamond"/>
          <w:i/>
          <w:iCs/>
        </w:rPr>
        <w:t>Sté Air France</w:t>
      </w:r>
      <w:r w:rsidR="002D09F1">
        <w:rPr>
          <w:rFonts w:ascii="Garamond" w:hAnsi="Garamond"/>
        </w:rPr>
        <w:t>.</w:t>
      </w:r>
    </w:p>
    <w:p w14:paraId="62CA1DC8" w14:textId="26924E20" w:rsidR="002D09F1" w:rsidRDefault="002D09F1" w:rsidP="006C40A5">
      <w:pPr>
        <w:tabs>
          <w:tab w:val="left" w:pos="851"/>
        </w:tabs>
        <w:spacing w:line="276" w:lineRule="auto"/>
        <w:contextualSpacing/>
        <w:jc w:val="both"/>
        <w:rPr>
          <w:rFonts w:ascii="Garamond" w:hAnsi="Garamond"/>
        </w:rPr>
      </w:pPr>
    </w:p>
    <w:p w14:paraId="55CBF432" w14:textId="138434B7" w:rsidR="002D09F1" w:rsidRDefault="002D09F1" w:rsidP="006C40A5">
      <w:pPr>
        <w:tabs>
          <w:tab w:val="left" w:pos="851"/>
        </w:tabs>
        <w:spacing w:line="276" w:lineRule="auto"/>
        <w:contextualSpacing/>
        <w:jc w:val="both"/>
        <w:rPr>
          <w:rFonts w:ascii="Garamond" w:hAnsi="Garamond"/>
        </w:rPr>
      </w:pPr>
      <w:r w:rsidRPr="002D09F1">
        <w:rPr>
          <w:rFonts w:ascii="Garamond" w:hAnsi="Garamond"/>
          <w:b/>
          <w:bCs/>
        </w:rPr>
        <w:t xml:space="preserve">DOCUMENT </w:t>
      </w:r>
      <w:r w:rsidR="007B6C9F">
        <w:rPr>
          <w:rFonts w:ascii="Garamond" w:hAnsi="Garamond"/>
          <w:b/>
          <w:bCs/>
        </w:rPr>
        <w:t>6</w:t>
      </w:r>
      <w:r w:rsidRPr="002D09F1">
        <w:rPr>
          <w:rFonts w:ascii="Garamond" w:hAnsi="Garamond"/>
          <w:b/>
          <w:bCs/>
        </w:rPr>
        <w:t> </w:t>
      </w:r>
      <w:r>
        <w:rPr>
          <w:rFonts w:ascii="Garamond" w:hAnsi="Garamond"/>
        </w:rPr>
        <w:t xml:space="preserve">: </w:t>
      </w:r>
      <w:r w:rsidRPr="002D09F1">
        <w:rPr>
          <w:rFonts w:ascii="Garamond" w:hAnsi="Garamond"/>
        </w:rPr>
        <w:t>C</w:t>
      </w:r>
      <w:r>
        <w:rPr>
          <w:rFonts w:ascii="Garamond" w:hAnsi="Garamond"/>
        </w:rPr>
        <w:t>onseil constitutionnel</w:t>
      </w:r>
      <w:r w:rsidRPr="002D09F1">
        <w:rPr>
          <w:rFonts w:ascii="Garamond" w:hAnsi="Garamond"/>
        </w:rPr>
        <w:t xml:space="preserve">, </w:t>
      </w:r>
      <w:r w:rsidR="00EE59ED">
        <w:rPr>
          <w:rFonts w:ascii="Garamond" w:hAnsi="Garamond"/>
        </w:rPr>
        <w:t xml:space="preserve">Décision QPC du </w:t>
      </w:r>
      <w:r w:rsidRPr="002D09F1">
        <w:rPr>
          <w:rFonts w:ascii="Garamond" w:hAnsi="Garamond"/>
        </w:rPr>
        <w:t xml:space="preserve">28 janvier 2022, </w:t>
      </w:r>
      <w:r w:rsidRPr="002D09F1">
        <w:rPr>
          <w:rFonts w:ascii="Garamond" w:hAnsi="Garamond"/>
          <w:i/>
          <w:iCs/>
        </w:rPr>
        <w:t>Cédric L.</w:t>
      </w:r>
    </w:p>
    <w:p w14:paraId="14CC874C" w14:textId="77777777" w:rsidR="009A2754" w:rsidRDefault="009A2754" w:rsidP="006C40A5">
      <w:pPr>
        <w:tabs>
          <w:tab w:val="left" w:pos="851"/>
        </w:tabs>
        <w:spacing w:line="276" w:lineRule="auto"/>
        <w:contextualSpacing/>
        <w:jc w:val="both"/>
        <w:rPr>
          <w:rFonts w:ascii="Garamond" w:hAnsi="Garamond"/>
        </w:rPr>
      </w:pPr>
    </w:p>
    <w:p w14:paraId="163C1658" w14:textId="77777777" w:rsidR="002D09F1" w:rsidRDefault="002D09F1" w:rsidP="006C40A5">
      <w:pPr>
        <w:spacing w:line="276" w:lineRule="auto"/>
        <w:contextualSpacing/>
        <w:rPr>
          <w:rFonts w:ascii="Garamond" w:hAnsi="Garamond"/>
          <w:b/>
          <w:bCs/>
        </w:rPr>
      </w:pPr>
    </w:p>
    <w:p w14:paraId="1343656F" w14:textId="77777777" w:rsidR="002D09F1" w:rsidRDefault="002D09F1" w:rsidP="006C40A5">
      <w:pPr>
        <w:pBdr>
          <w:top w:val="single" w:sz="4" w:space="1" w:color="auto"/>
          <w:left w:val="single" w:sz="4" w:space="4" w:color="auto"/>
          <w:bottom w:val="single" w:sz="4" w:space="1" w:color="auto"/>
          <w:right w:val="single" w:sz="4" w:space="4" w:color="auto"/>
        </w:pBdr>
        <w:spacing w:line="276" w:lineRule="auto"/>
        <w:contextualSpacing/>
        <w:jc w:val="center"/>
        <w:rPr>
          <w:rFonts w:ascii="Garamond" w:hAnsi="Garamond"/>
          <w:b/>
          <w:bCs/>
        </w:rPr>
      </w:pPr>
      <w:r>
        <w:rPr>
          <w:rFonts w:ascii="Garamond" w:hAnsi="Garamond"/>
          <w:b/>
          <w:bCs/>
        </w:rPr>
        <w:t>III. Le dialogue avec la Cour de justice de l’Union européenne</w:t>
      </w:r>
    </w:p>
    <w:p w14:paraId="16BD2C93" w14:textId="77777777" w:rsidR="002D09F1" w:rsidRDefault="002D09F1" w:rsidP="006C40A5">
      <w:pPr>
        <w:spacing w:line="276" w:lineRule="auto"/>
        <w:contextualSpacing/>
        <w:rPr>
          <w:rFonts w:ascii="Garamond" w:hAnsi="Garamond"/>
          <w:b/>
          <w:bCs/>
        </w:rPr>
      </w:pPr>
    </w:p>
    <w:p w14:paraId="7951460A" w14:textId="77777777" w:rsidR="002D09F1" w:rsidRDefault="002D09F1" w:rsidP="006C40A5">
      <w:pPr>
        <w:spacing w:line="276" w:lineRule="auto"/>
        <w:contextualSpacing/>
        <w:rPr>
          <w:rFonts w:ascii="Garamond" w:hAnsi="Garamond"/>
          <w:b/>
          <w:bCs/>
        </w:rPr>
      </w:pPr>
    </w:p>
    <w:p w14:paraId="58918D58" w14:textId="78731620" w:rsidR="006C40A5" w:rsidRDefault="002D09F1" w:rsidP="006C40A5">
      <w:pPr>
        <w:spacing w:line="276" w:lineRule="auto"/>
        <w:contextualSpacing/>
        <w:jc w:val="both"/>
        <w:rPr>
          <w:rFonts w:ascii="Garamond" w:hAnsi="Garamond"/>
          <w:b/>
          <w:bCs/>
        </w:rPr>
      </w:pPr>
      <w:r>
        <w:rPr>
          <w:rFonts w:ascii="Garamond" w:hAnsi="Garamond"/>
          <w:b/>
          <w:bCs/>
        </w:rPr>
        <w:t xml:space="preserve">DOCUMENT </w:t>
      </w:r>
      <w:r w:rsidR="007B6C9F">
        <w:rPr>
          <w:rFonts w:ascii="Garamond" w:hAnsi="Garamond"/>
          <w:b/>
          <w:bCs/>
        </w:rPr>
        <w:t>7</w:t>
      </w:r>
      <w:r>
        <w:rPr>
          <w:rFonts w:ascii="Garamond" w:hAnsi="Garamond"/>
          <w:b/>
          <w:bCs/>
        </w:rPr>
        <w:t xml:space="preserve"> : </w:t>
      </w:r>
      <w:r w:rsidR="006C40A5" w:rsidRPr="006C40A5">
        <w:rPr>
          <w:rFonts w:ascii="Garamond" w:hAnsi="Garamond"/>
        </w:rPr>
        <w:t xml:space="preserve">Conseil constitutionnel, Décision n°2010-605 DC du 12 mai 2010, </w:t>
      </w:r>
      <w:r w:rsidR="006C40A5" w:rsidRPr="006C40A5">
        <w:rPr>
          <w:rFonts w:ascii="Garamond" w:hAnsi="Garamond"/>
          <w:i/>
          <w:iCs/>
        </w:rPr>
        <w:t>Loi relative à l’ouverture à la concurrence et à la régulation du secteur des jeux d’argent et de hasard en ligne</w:t>
      </w:r>
      <w:r w:rsidR="006C40A5">
        <w:rPr>
          <w:rFonts w:ascii="Garamond" w:hAnsi="Garamond"/>
          <w:b/>
          <w:bCs/>
        </w:rPr>
        <w:t>.</w:t>
      </w:r>
    </w:p>
    <w:p w14:paraId="31492A42" w14:textId="5EE6EA16" w:rsidR="006C40A5" w:rsidRDefault="006C40A5" w:rsidP="006C40A5">
      <w:pPr>
        <w:spacing w:line="276" w:lineRule="auto"/>
        <w:contextualSpacing/>
        <w:rPr>
          <w:rFonts w:ascii="Garamond" w:hAnsi="Garamond"/>
          <w:b/>
          <w:bCs/>
        </w:rPr>
      </w:pPr>
    </w:p>
    <w:p w14:paraId="5BAF2C1A" w14:textId="493CB460" w:rsidR="006C40A5" w:rsidRDefault="006C40A5" w:rsidP="006C40A5">
      <w:pPr>
        <w:spacing w:line="276" w:lineRule="auto"/>
        <w:contextualSpacing/>
        <w:rPr>
          <w:rFonts w:ascii="Garamond" w:hAnsi="Garamond"/>
          <w:i/>
          <w:iCs/>
        </w:rPr>
      </w:pPr>
      <w:r>
        <w:rPr>
          <w:rFonts w:ascii="Garamond" w:hAnsi="Garamond"/>
          <w:b/>
          <w:bCs/>
        </w:rPr>
        <w:t xml:space="preserve">DOCUMENT </w:t>
      </w:r>
      <w:r w:rsidR="007B6C9F">
        <w:rPr>
          <w:rFonts w:ascii="Garamond" w:hAnsi="Garamond"/>
          <w:b/>
          <w:bCs/>
        </w:rPr>
        <w:t>8</w:t>
      </w:r>
      <w:r>
        <w:rPr>
          <w:rFonts w:ascii="Garamond" w:hAnsi="Garamond"/>
          <w:b/>
          <w:bCs/>
        </w:rPr>
        <w:t> </w:t>
      </w:r>
      <w:r w:rsidRPr="006C40A5">
        <w:rPr>
          <w:rFonts w:ascii="Garamond" w:hAnsi="Garamond"/>
        </w:rPr>
        <w:t xml:space="preserve">: CJUE, 22 juin 2010, </w:t>
      </w:r>
      <w:r w:rsidRPr="006C40A5">
        <w:rPr>
          <w:rFonts w:ascii="Garamond" w:hAnsi="Garamond"/>
          <w:i/>
          <w:iCs/>
        </w:rPr>
        <w:t xml:space="preserve">A. Melki et S. </w:t>
      </w:r>
      <w:proofErr w:type="spellStart"/>
      <w:r w:rsidRPr="006C40A5">
        <w:rPr>
          <w:rFonts w:ascii="Garamond" w:hAnsi="Garamond"/>
          <w:i/>
          <w:iCs/>
        </w:rPr>
        <w:t>Abdeli</w:t>
      </w:r>
      <w:proofErr w:type="spellEnd"/>
      <w:r w:rsidR="00C33620">
        <w:rPr>
          <w:rFonts w:ascii="Garamond" w:hAnsi="Garamond"/>
          <w:i/>
          <w:iCs/>
        </w:rPr>
        <w:t>.</w:t>
      </w:r>
    </w:p>
    <w:p w14:paraId="38E0A4D6" w14:textId="1D20770B" w:rsidR="007B6C9F" w:rsidRDefault="007B6C9F" w:rsidP="006C40A5">
      <w:pPr>
        <w:spacing w:line="276" w:lineRule="auto"/>
        <w:contextualSpacing/>
        <w:rPr>
          <w:rFonts w:ascii="Garamond" w:hAnsi="Garamond"/>
          <w:i/>
          <w:iCs/>
        </w:rPr>
      </w:pPr>
    </w:p>
    <w:p w14:paraId="30599254" w14:textId="4E55A310" w:rsidR="007B6C9F" w:rsidRDefault="007B6C9F" w:rsidP="007B6C9F">
      <w:pPr>
        <w:tabs>
          <w:tab w:val="left" w:pos="851"/>
        </w:tabs>
        <w:spacing w:line="276" w:lineRule="auto"/>
        <w:contextualSpacing/>
        <w:jc w:val="both"/>
        <w:rPr>
          <w:rFonts w:ascii="Garamond" w:hAnsi="Garamond"/>
        </w:rPr>
      </w:pPr>
      <w:r w:rsidRPr="009A2754">
        <w:rPr>
          <w:rFonts w:ascii="Garamond" w:hAnsi="Garamond"/>
          <w:b/>
          <w:bCs/>
        </w:rPr>
        <w:t xml:space="preserve">DOCUMENT </w:t>
      </w:r>
      <w:r>
        <w:rPr>
          <w:rFonts w:ascii="Garamond" w:hAnsi="Garamond"/>
          <w:b/>
          <w:bCs/>
        </w:rPr>
        <w:t>9</w:t>
      </w:r>
      <w:r w:rsidRPr="009A2754">
        <w:rPr>
          <w:rFonts w:ascii="Garamond" w:hAnsi="Garamond"/>
          <w:b/>
          <w:bCs/>
        </w:rPr>
        <w:t> :</w:t>
      </w:r>
      <w:r>
        <w:rPr>
          <w:rFonts w:ascii="Garamond" w:hAnsi="Garamond"/>
        </w:rPr>
        <w:t xml:space="preserve"> </w:t>
      </w:r>
      <w:r w:rsidRPr="009A2754">
        <w:rPr>
          <w:rFonts w:ascii="Garamond" w:hAnsi="Garamond"/>
        </w:rPr>
        <w:t>C</w:t>
      </w:r>
      <w:r>
        <w:rPr>
          <w:rFonts w:ascii="Garamond" w:hAnsi="Garamond"/>
        </w:rPr>
        <w:t>onseil d’État</w:t>
      </w:r>
      <w:r w:rsidRPr="009A2754">
        <w:rPr>
          <w:rFonts w:ascii="Garamond" w:hAnsi="Garamond"/>
        </w:rPr>
        <w:t xml:space="preserve">, </w:t>
      </w:r>
      <w:r w:rsidRPr="002D09F1">
        <w:rPr>
          <w:rFonts w:ascii="Garamond" w:hAnsi="Garamond"/>
        </w:rPr>
        <w:t xml:space="preserve">6 décembre 2012, </w:t>
      </w:r>
      <w:r w:rsidRPr="002D09F1">
        <w:rPr>
          <w:rFonts w:ascii="Garamond" w:hAnsi="Garamond"/>
          <w:i/>
          <w:iCs/>
        </w:rPr>
        <w:t>Société Air Algérie</w:t>
      </w:r>
      <w:r>
        <w:rPr>
          <w:rFonts w:ascii="Garamond" w:hAnsi="Garamond"/>
        </w:rPr>
        <w:t>.</w:t>
      </w:r>
    </w:p>
    <w:p w14:paraId="465D6A4A" w14:textId="4CAA1221" w:rsidR="00C87801" w:rsidRDefault="00C87801" w:rsidP="007B6C9F">
      <w:pPr>
        <w:tabs>
          <w:tab w:val="left" w:pos="851"/>
        </w:tabs>
        <w:spacing w:line="276" w:lineRule="auto"/>
        <w:contextualSpacing/>
        <w:jc w:val="both"/>
        <w:rPr>
          <w:rFonts w:ascii="Garamond" w:hAnsi="Garamond"/>
        </w:rPr>
      </w:pPr>
    </w:p>
    <w:p w14:paraId="7576E0B2" w14:textId="77777777" w:rsidR="00C87801" w:rsidRDefault="00C87801" w:rsidP="00C87801">
      <w:pPr>
        <w:spacing w:line="276" w:lineRule="auto"/>
        <w:jc w:val="lowKashida"/>
        <w:rPr>
          <w:rFonts w:ascii="Garamond" w:hAnsi="Garamond"/>
          <w:b/>
          <w:bCs/>
        </w:rPr>
      </w:pPr>
    </w:p>
    <w:p w14:paraId="6C970A9E" w14:textId="77777777" w:rsidR="00C87801" w:rsidRDefault="00C87801" w:rsidP="00C87801">
      <w:pPr>
        <w:pBdr>
          <w:top w:val="single" w:sz="4" w:space="1" w:color="auto"/>
          <w:left w:val="single" w:sz="4" w:space="4" w:color="auto"/>
          <w:bottom w:val="single" w:sz="4" w:space="1" w:color="auto"/>
          <w:right w:val="single" w:sz="4" w:space="4" w:color="auto"/>
        </w:pBdr>
        <w:spacing w:line="276" w:lineRule="auto"/>
        <w:jc w:val="center"/>
        <w:rPr>
          <w:rFonts w:ascii="Garamond" w:hAnsi="Garamond"/>
          <w:b/>
          <w:bCs/>
        </w:rPr>
      </w:pPr>
      <w:r>
        <w:rPr>
          <w:rFonts w:ascii="Garamond" w:hAnsi="Garamond"/>
          <w:b/>
          <w:bCs/>
        </w:rPr>
        <w:t>Exercice</w:t>
      </w:r>
    </w:p>
    <w:p w14:paraId="797F3646" w14:textId="77777777" w:rsidR="00C87801" w:rsidRDefault="00C87801" w:rsidP="00C87801">
      <w:pPr>
        <w:spacing w:line="276" w:lineRule="auto"/>
        <w:rPr>
          <w:rFonts w:ascii="Garamond" w:hAnsi="Garamond"/>
        </w:rPr>
      </w:pPr>
    </w:p>
    <w:p w14:paraId="38209807" w14:textId="77777777" w:rsidR="003852F9" w:rsidRDefault="003852F9" w:rsidP="003852F9">
      <w:pPr>
        <w:tabs>
          <w:tab w:val="left" w:pos="851"/>
        </w:tabs>
        <w:spacing w:line="276" w:lineRule="auto"/>
        <w:contextualSpacing/>
        <w:jc w:val="both"/>
        <w:rPr>
          <w:rFonts w:ascii="Garamond" w:hAnsi="Garamond"/>
          <w:b/>
          <w:bCs/>
        </w:rPr>
      </w:pPr>
      <w:r>
        <w:rPr>
          <w:rFonts w:ascii="Garamond" w:hAnsi="Garamond"/>
        </w:rPr>
        <w:t>Commentaire</w:t>
      </w:r>
      <w:r w:rsidR="00C87801">
        <w:rPr>
          <w:rFonts w:ascii="Garamond" w:hAnsi="Garamond"/>
        </w:rPr>
        <w:t xml:space="preserve"> : </w:t>
      </w:r>
      <w:r>
        <w:rPr>
          <w:rFonts w:ascii="Garamond" w:hAnsi="Garamond"/>
          <w:b/>
          <w:bCs/>
        </w:rPr>
        <w:t xml:space="preserve">DOCUMENT 4 : </w:t>
      </w:r>
      <w:r w:rsidRPr="002D09F1">
        <w:rPr>
          <w:rFonts w:ascii="Garamond" w:hAnsi="Garamond"/>
        </w:rPr>
        <w:t xml:space="preserve">Conseil d’État, 8 février 2007, </w:t>
      </w:r>
      <w:r w:rsidRPr="002D09F1">
        <w:rPr>
          <w:rFonts w:ascii="Garamond" w:hAnsi="Garamond"/>
          <w:i/>
          <w:iCs/>
        </w:rPr>
        <w:t>Société Arcelor.</w:t>
      </w:r>
    </w:p>
    <w:p w14:paraId="20520468" w14:textId="2F38FBCC" w:rsidR="00C87801" w:rsidRDefault="00C87801" w:rsidP="003852F9">
      <w:pPr>
        <w:tabs>
          <w:tab w:val="left" w:pos="851"/>
        </w:tabs>
        <w:spacing w:line="276" w:lineRule="auto"/>
        <w:jc w:val="lowKashida"/>
        <w:rPr>
          <w:rFonts w:ascii="Garamond" w:hAnsi="Garamond"/>
          <w:b/>
          <w:bCs/>
        </w:rPr>
      </w:pPr>
    </w:p>
    <w:p w14:paraId="33866184" w14:textId="77777777" w:rsidR="00C87801" w:rsidRDefault="00C87801" w:rsidP="007B6C9F">
      <w:pPr>
        <w:tabs>
          <w:tab w:val="left" w:pos="851"/>
        </w:tabs>
        <w:spacing w:line="276" w:lineRule="auto"/>
        <w:contextualSpacing/>
        <w:jc w:val="both"/>
        <w:rPr>
          <w:rFonts w:ascii="Garamond" w:hAnsi="Garamond"/>
        </w:rPr>
      </w:pPr>
    </w:p>
    <w:p w14:paraId="0183978C" w14:textId="77777777" w:rsidR="007B6C9F" w:rsidRPr="006C40A5" w:rsidRDefault="007B6C9F" w:rsidP="006C40A5">
      <w:pPr>
        <w:spacing w:line="276" w:lineRule="auto"/>
        <w:contextualSpacing/>
        <w:rPr>
          <w:rFonts w:ascii="Garamond" w:hAnsi="Garamond"/>
          <w:b/>
          <w:bCs/>
        </w:rPr>
      </w:pPr>
    </w:p>
    <w:p w14:paraId="62E855B0" w14:textId="6B7050D0" w:rsidR="006C40A5" w:rsidRDefault="006C40A5" w:rsidP="006C40A5">
      <w:pPr>
        <w:spacing w:line="276" w:lineRule="auto"/>
        <w:contextualSpacing/>
        <w:rPr>
          <w:rFonts w:ascii="Garamond" w:hAnsi="Garamond"/>
          <w:b/>
          <w:bCs/>
        </w:rPr>
      </w:pPr>
    </w:p>
    <w:p w14:paraId="40366E7A" w14:textId="3FBD6708" w:rsidR="002D09F1" w:rsidRDefault="002D09F1" w:rsidP="006C40A5">
      <w:pPr>
        <w:spacing w:line="276" w:lineRule="auto"/>
        <w:contextualSpacing/>
        <w:rPr>
          <w:rFonts w:ascii="Garamond" w:hAnsi="Garamond"/>
          <w:b/>
          <w:bCs/>
        </w:rPr>
      </w:pPr>
      <w:r>
        <w:rPr>
          <w:rFonts w:ascii="Garamond" w:hAnsi="Garamond"/>
          <w:b/>
          <w:bCs/>
        </w:rPr>
        <w:br w:type="page"/>
      </w:r>
    </w:p>
    <w:p w14:paraId="7B3D934D" w14:textId="014E1F0E" w:rsidR="00C33620" w:rsidRPr="00B93D40" w:rsidRDefault="00C33620" w:rsidP="00C33620">
      <w:pPr>
        <w:pBdr>
          <w:top w:val="single" w:sz="4" w:space="1" w:color="auto"/>
          <w:left w:val="single" w:sz="4" w:space="4" w:color="auto"/>
          <w:bottom w:val="single" w:sz="4" w:space="1" w:color="auto"/>
          <w:right w:val="single" w:sz="4" w:space="4" w:color="auto"/>
        </w:pBdr>
        <w:tabs>
          <w:tab w:val="left" w:pos="851"/>
        </w:tabs>
        <w:spacing w:line="276" w:lineRule="auto"/>
        <w:contextualSpacing/>
        <w:jc w:val="center"/>
        <w:rPr>
          <w:rFonts w:ascii="Garamond" w:hAnsi="Garamond"/>
          <w:b/>
          <w:bCs/>
        </w:rPr>
      </w:pPr>
      <w:r w:rsidRPr="00B93D40">
        <w:rPr>
          <w:rFonts w:ascii="Garamond" w:hAnsi="Garamond"/>
          <w:b/>
          <w:bCs/>
        </w:rPr>
        <w:lastRenderedPageBreak/>
        <w:t>I.</w:t>
      </w:r>
      <w:r>
        <w:rPr>
          <w:rFonts w:ascii="Garamond" w:hAnsi="Garamond"/>
          <w:b/>
          <w:bCs/>
        </w:rPr>
        <w:t xml:space="preserve"> Le droit de l’Union européenne</w:t>
      </w:r>
    </w:p>
    <w:p w14:paraId="0448F4ED" w14:textId="77777777" w:rsidR="00C33620" w:rsidRDefault="00C33620" w:rsidP="00C33620">
      <w:pPr>
        <w:tabs>
          <w:tab w:val="left" w:pos="851"/>
        </w:tabs>
        <w:spacing w:line="276" w:lineRule="auto"/>
        <w:contextualSpacing/>
        <w:jc w:val="both"/>
        <w:rPr>
          <w:rFonts w:ascii="Garamond" w:hAnsi="Garamond"/>
          <w:b/>
          <w:bCs/>
        </w:rPr>
      </w:pPr>
    </w:p>
    <w:p w14:paraId="7DE8D6A0" w14:textId="77777777" w:rsidR="00C33620" w:rsidRDefault="00C33620" w:rsidP="00C33620">
      <w:pPr>
        <w:tabs>
          <w:tab w:val="left" w:pos="851"/>
        </w:tabs>
        <w:spacing w:line="276" w:lineRule="auto"/>
        <w:contextualSpacing/>
        <w:jc w:val="both"/>
        <w:rPr>
          <w:rFonts w:ascii="Garamond" w:hAnsi="Garamond"/>
          <w:b/>
          <w:bCs/>
        </w:rPr>
      </w:pPr>
    </w:p>
    <w:p w14:paraId="687EB09C" w14:textId="77777777" w:rsidR="00C33620" w:rsidRDefault="00C33620" w:rsidP="00C33620">
      <w:pPr>
        <w:tabs>
          <w:tab w:val="left" w:pos="851"/>
        </w:tabs>
        <w:spacing w:line="276" w:lineRule="auto"/>
        <w:contextualSpacing/>
        <w:jc w:val="both"/>
        <w:rPr>
          <w:rFonts w:ascii="Garamond" w:hAnsi="Garamond"/>
        </w:rPr>
      </w:pPr>
      <w:r w:rsidRPr="009742C9">
        <w:rPr>
          <w:rFonts w:ascii="Garamond" w:hAnsi="Garamond"/>
          <w:b/>
          <w:bCs/>
        </w:rPr>
        <w:t xml:space="preserve">DOCUMENT </w:t>
      </w:r>
      <w:r>
        <w:rPr>
          <w:rFonts w:ascii="Garamond" w:hAnsi="Garamond"/>
          <w:b/>
          <w:bCs/>
        </w:rPr>
        <w:t xml:space="preserve">1 : </w:t>
      </w:r>
      <w:r w:rsidRPr="006C40A5">
        <w:rPr>
          <w:rFonts w:ascii="Garamond" w:hAnsi="Garamond"/>
        </w:rPr>
        <w:t xml:space="preserve">Article 288 </w:t>
      </w:r>
      <w:r>
        <w:rPr>
          <w:rFonts w:ascii="Garamond" w:hAnsi="Garamond"/>
        </w:rPr>
        <w:t xml:space="preserve">du </w:t>
      </w:r>
      <w:r w:rsidRPr="006C40A5">
        <w:rPr>
          <w:rFonts w:ascii="Garamond" w:hAnsi="Garamond"/>
        </w:rPr>
        <w:t>Traité sur le fonctionnement de l’Union européenne.</w:t>
      </w:r>
    </w:p>
    <w:p w14:paraId="5F4A2D82" w14:textId="50464BDC" w:rsidR="00C33620" w:rsidRDefault="00C33620" w:rsidP="00C33620">
      <w:pPr>
        <w:tabs>
          <w:tab w:val="left" w:pos="851"/>
        </w:tabs>
        <w:spacing w:line="276" w:lineRule="auto"/>
        <w:contextualSpacing/>
        <w:jc w:val="both"/>
        <w:rPr>
          <w:rFonts w:ascii="Garamond" w:hAnsi="Garamond"/>
          <w:b/>
          <w:bCs/>
        </w:rPr>
      </w:pPr>
    </w:p>
    <w:p w14:paraId="33D91F86" w14:textId="2B9B2109" w:rsidR="00C33620" w:rsidRDefault="00C33620" w:rsidP="00C33620">
      <w:pPr>
        <w:tabs>
          <w:tab w:val="left" w:pos="851"/>
        </w:tabs>
        <w:spacing w:line="276" w:lineRule="auto"/>
        <w:contextualSpacing/>
        <w:jc w:val="both"/>
        <w:rPr>
          <w:rFonts w:ascii="Garamond" w:hAnsi="Garamond"/>
          <w:b/>
          <w:bCs/>
        </w:rPr>
      </w:pPr>
    </w:p>
    <w:p w14:paraId="34D25F7B" w14:textId="0521DC80" w:rsidR="00C33620" w:rsidRDefault="00C33620" w:rsidP="00C33620">
      <w:pPr>
        <w:tabs>
          <w:tab w:val="left" w:pos="851"/>
        </w:tabs>
        <w:spacing w:line="276" w:lineRule="auto"/>
        <w:contextualSpacing/>
        <w:jc w:val="both"/>
        <w:rPr>
          <w:rFonts w:ascii="Garamond" w:hAnsi="Garamond"/>
        </w:rPr>
      </w:pPr>
      <w:r w:rsidRPr="00C33620">
        <w:rPr>
          <w:rFonts w:ascii="Garamond" w:hAnsi="Garamond"/>
        </w:rPr>
        <w:t>« Pour exercer les compétences de l'Union, les institutions adoptent des règlements, des directives, des décisions, des recommandations et des avis.</w:t>
      </w:r>
    </w:p>
    <w:p w14:paraId="7F14C62E" w14:textId="77777777" w:rsidR="00C33620" w:rsidRPr="00C33620" w:rsidRDefault="00C33620" w:rsidP="00C33620">
      <w:pPr>
        <w:tabs>
          <w:tab w:val="left" w:pos="851"/>
        </w:tabs>
        <w:spacing w:line="276" w:lineRule="auto"/>
        <w:contextualSpacing/>
        <w:jc w:val="both"/>
        <w:rPr>
          <w:rFonts w:ascii="Garamond" w:hAnsi="Garamond"/>
        </w:rPr>
      </w:pPr>
    </w:p>
    <w:p w14:paraId="05A5D471" w14:textId="5B03CEF1" w:rsidR="00C33620" w:rsidRDefault="00C33620" w:rsidP="00C33620">
      <w:pPr>
        <w:tabs>
          <w:tab w:val="left" w:pos="851"/>
        </w:tabs>
        <w:spacing w:line="276" w:lineRule="auto"/>
        <w:contextualSpacing/>
        <w:jc w:val="both"/>
        <w:rPr>
          <w:rFonts w:ascii="Garamond" w:hAnsi="Garamond"/>
        </w:rPr>
      </w:pPr>
      <w:r w:rsidRPr="00C33620">
        <w:rPr>
          <w:rFonts w:ascii="Garamond" w:hAnsi="Garamond"/>
        </w:rPr>
        <w:t>Le règlement a une portée générale. Il est obligatoire dans tous ses éléments et il est directement applicable dans tout État membre.</w:t>
      </w:r>
    </w:p>
    <w:p w14:paraId="3C26D3AF" w14:textId="77777777" w:rsidR="00C33620" w:rsidRPr="00C33620" w:rsidRDefault="00C33620" w:rsidP="00C33620">
      <w:pPr>
        <w:tabs>
          <w:tab w:val="left" w:pos="851"/>
        </w:tabs>
        <w:spacing w:line="276" w:lineRule="auto"/>
        <w:contextualSpacing/>
        <w:jc w:val="both"/>
        <w:rPr>
          <w:rFonts w:ascii="Garamond" w:hAnsi="Garamond"/>
        </w:rPr>
      </w:pPr>
    </w:p>
    <w:p w14:paraId="45D3B5F6" w14:textId="3893BC23" w:rsidR="00C33620" w:rsidRDefault="00C33620" w:rsidP="00C33620">
      <w:pPr>
        <w:tabs>
          <w:tab w:val="left" w:pos="851"/>
        </w:tabs>
        <w:spacing w:line="276" w:lineRule="auto"/>
        <w:contextualSpacing/>
        <w:jc w:val="both"/>
        <w:rPr>
          <w:rFonts w:ascii="Garamond" w:hAnsi="Garamond"/>
        </w:rPr>
      </w:pPr>
      <w:r w:rsidRPr="00C33620">
        <w:rPr>
          <w:rFonts w:ascii="Garamond" w:hAnsi="Garamond"/>
        </w:rPr>
        <w:t>La directive lie tout État membre destinataire quant au résultat à atteindre, tout en laissant aux instances nationales la compétence quant à la forme et aux moyens.</w:t>
      </w:r>
    </w:p>
    <w:p w14:paraId="16A56335" w14:textId="77777777" w:rsidR="00C33620" w:rsidRPr="00C33620" w:rsidRDefault="00C33620" w:rsidP="00C33620">
      <w:pPr>
        <w:tabs>
          <w:tab w:val="left" w:pos="851"/>
        </w:tabs>
        <w:spacing w:line="276" w:lineRule="auto"/>
        <w:contextualSpacing/>
        <w:jc w:val="both"/>
        <w:rPr>
          <w:rFonts w:ascii="Garamond" w:hAnsi="Garamond"/>
        </w:rPr>
      </w:pPr>
    </w:p>
    <w:p w14:paraId="794F2970" w14:textId="7D6F166F"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La décision est obligatoire dans tous ses éléments. Lorsqu'elle désigne des destinataires, elle n'est obligatoire que pour ceux-ci. Les recommandations et les avis ne lient pas</w:t>
      </w:r>
      <w:r>
        <w:rPr>
          <w:rFonts w:ascii="Garamond" w:hAnsi="Garamond"/>
        </w:rPr>
        <w:t> ».</w:t>
      </w:r>
    </w:p>
    <w:p w14:paraId="25EF2EAB" w14:textId="63DE0A0B" w:rsidR="00C33620" w:rsidRDefault="00C33620" w:rsidP="00C33620">
      <w:pPr>
        <w:tabs>
          <w:tab w:val="left" w:pos="851"/>
        </w:tabs>
        <w:spacing w:line="276" w:lineRule="auto"/>
        <w:contextualSpacing/>
        <w:jc w:val="both"/>
        <w:rPr>
          <w:rFonts w:ascii="Garamond" w:hAnsi="Garamond"/>
          <w:b/>
          <w:bCs/>
        </w:rPr>
      </w:pPr>
    </w:p>
    <w:p w14:paraId="5834437A" w14:textId="77777777" w:rsidR="00C33620" w:rsidRPr="00950C91" w:rsidRDefault="00C33620" w:rsidP="00C33620">
      <w:pPr>
        <w:tabs>
          <w:tab w:val="left" w:pos="851"/>
        </w:tabs>
        <w:spacing w:line="276" w:lineRule="auto"/>
        <w:contextualSpacing/>
        <w:jc w:val="both"/>
        <w:rPr>
          <w:rFonts w:ascii="Garamond" w:hAnsi="Garamond"/>
          <w:b/>
          <w:bCs/>
        </w:rPr>
      </w:pPr>
    </w:p>
    <w:p w14:paraId="3BC0B017" w14:textId="77777777" w:rsidR="00C33620" w:rsidRPr="00950C91" w:rsidRDefault="00C33620" w:rsidP="00C33620">
      <w:pPr>
        <w:tabs>
          <w:tab w:val="left" w:pos="851"/>
        </w:tabs>
        <w:spacing w:line="276" w:lineRule="auto"/>
        <w:contextualSpacing/>
        <w:jc w:val="both"/>
        <w:rPr>
          <w:rFonts w:ascii="Garamond" w:hAnsi="Garamond"/>
          <w:b/>
          <w:bCs/>
          <w:i/>
          <w:iCs/>
        </w:rPr>
      </w:pPr>
      <w:r w:rsidRPr="009742C9">
        <w:rPr>
          <w:rFonts w:ascii="Garamond" w:hAnsi="Garamond"/>
          <w:b/>
          <w:bCs/>
        </w:rPr>
        <w:t xml:space="preserve">DOCUMENT </w:t>
      </w:r>
      <w:r>
        <w:rPr>
          <w:rFonts w:ascii="Garamond" w:hAnsi="Garamond"/>
          <w:b/>
          <w:bCs/>
        </w:rPr>
        <w:t>2</w:t>
      </w:r>
      <w:r w:rsidRPr="009742C9">
        <w:rPr>
          <w:rFonts w:ascii="Garamond" w:hAnsi="Garamond"/>
        </w:rPr>
        <w:t> :</w:t>
      </w:r>
      <w:r>
        <w:rPr>
          <w:rFonts w:ascii="Garamond" w:hAnsi="Garamond"/>
        </w:rPr>
        <w:t xml:space="preserve"> « </w:t>
      </w:r>
      <w:r w:rsidRPr="00C33620">
        <w:rPr>
          <w:rFonts w:ascii="Garamond" w:hAnsi="Garamond"/>
        </w:rPr>
        <w:t>Le juge administratif et le droit de l'Union Européenne</w:t>
      </w:r>
      <w:r>
        <w:rPr>
          <w:rFonts w:ascii="Garamond" w:hAnsi="Garamond"/>
        </w:rPr>
        <w:t xml:space="preserve"> », </w:t>
      </w:r>
      <w:r w:rsidRPr="00C33620">
        <w:rPr>
          <w:rFonts w:ascii="Garamond" w:hAnsi="Garamond"/>
        </w:rPr>
        <w:t>Les dossiers thématiques du Conseil d'État, 2015</w:t>
      </w:r>
      <w:r>
        <w:rPr>
          <w:rFonts w:ascii="Garamond" w:hAnsi="Garamond"/>
        </w:rPr>
        <w:t>.</w:t>
      </w:r>
    </w:p>
    <w:p w14:paraId="737A5BDD" w14:textId="77777777" w:rsidR="00C33620" w:rsidRDefault="00C33620" w:rsidP="00E1707F">
      <w:pPr>
        <w:tabs>
          <w:tab w:val="left" w:pos="851"/>
        </w:tabs>
        <w:spacing w:line="276" w:lineRule="auto"/>
        <w:contextualSpacing/>
        <w:jc w:val="lowKashida"/>
        <w:rPr>
          <w:rFonts w:ascii="Garamond" w:hAnsi="Garamond" w:cstheme="majorBidi"/>
        </w:rPr>
      </w:pPr>
    </w:p>
    <w:p w14:paraId="7DDBBFD2" w14:textId="77777777" w:rsidR="00C33620" w:rsidRDefault="00C33620" w:rsidP="00E1707F">
      <w:pPr>
        <w:tabs>
          <w:tab w:val="left" w:pos="851"/>
        </w:tabs>
        <w:spacing w:line="276" w:lineRule="auto"/>
        <w:contextualSpacing/>
        <w:jc w:val="lowKashida"/>
        <w:rPr>
          <w:rFonts w:ascii="Garamond" w:hAnsi="Garamond" w:cstheme="majorBidi"/>
        </w:rPr>
      </w:pPr>
    </w:p>
    <w:p w14:paraId="0BD4BA92" w14:textId="69E7D4CE" w:rsidR="00E1707F" w:rsidRPr="00E1707F" w:rsidRDefault="00E1707F" w:rsidP="00C33620">
      <w:pPr>
        <w:tabs>
          <w:tab w:val="left" w:pos="851"/>
        </w:tabs>
        <w:spacing w:line="276" w:lineRule="auto"/>
        <w:contextualSpacing/>
        <w:jc w:val="center"/>
        <w:rPr>
          <w:rFonts w:ascii="Garamond" w:hAnsi="Garamond" w:cstheme="majorBidi"/>
        </w:rPr>
      </w:pPr>
      <w:r w:rsidRPr="00E1707F">
        <w:rPr>
          <w:rFonts w:ascii="Garamond" w:hAnsi="Garamond" w:cstheme="majorBidi"/>
        </w:rPr>
        <w:t>La reconnaissance des spécificités du droit de l’Union par le juge administratif : effet direct et primauté du droit de l’Union européenne</w:t>
      </w:r>
    </w:p>
    <w:p w14:paraId="7B06307A" w14:textId="77777777" w:rsidR="00E1707F" w:rsidRPr="00E1707F" w:rsidRDefault="00E1707F" w:rsidP="00E1707F">
      <w:pPr>
        <w:tabs>
          <w:tab w:val="left" w:pos="851"/>
        </w:tabs>
        <w:spacing w:line="276" w:lineRule="auto"/>
        <w:contextualSpacing/>
        <w:jc w:val="lowKashida"/>
        <w:rPr>
          <w:rFonts w:ascii="Garamond" w:hAnsi="Garamond" w:cstheme="majorBidi"/>
        </w:rPr>
      </w:pPr>
    </w:p>
    <w:p w14:paraId="377EB66D" w14:textId="1629DBD5" w:rsidR="00E1707F"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L’effet direct du droit de l’Union a été consacré par la Cour dans l’arrêt Van Gend en Loos du 5 février 1963. Dans cet arrêt, la Cour énonce que le droit européen engendre non seulement des obligations pour les pays de l'UE mais également, à certaines conditions, des droits pour les particuliers, qui peuvent invoquer directement des normes européennes devant les juridictions nationales et européennes. Dans ce même arrêt, la Cour indique que le droit primaire est d’effet direct à condition que les droits ou obligations qu’il emporte concernent les particuliers, soient précises, claires, inconditionnelles, et qu’elles n’appellent pas de mesures complémentaires au niveau national ou européen. Le principe d’effet direct concerne également les actes issus du droit dérivé, mais sa portée dépend du type d’acte concerné. Si les règlements sont toujours d’effet direct (en vertu de l’article 288 du TFUE ; voir aussi l’arrêt </w:t>
      </w:r>
      <w:proofErr w:type="spellStart"/>
      <w:r w:rsidRPr="00E1707F">
        <w:rPr>
          <w:rFonts w:ascii="Garamond" w:hAnsi="Garamond" w:cstheme="majorBidi"/>
        </w:rPr>
        <w:t>Politi</w:t>
      </w:r>
      <w:proofErr w:type="spellEnd"/>
      <w:r w:rsidRPr="00E1707F">
        <w:rPr>
          <w:rFonts w:ascii="Garamond" w:hAnsi="Garamond" w:cstheme="majorBidi"/>
        </w:rPr>
        <w:t xml:space="preserve"> de la CJCE du 14 décembre 1971), les directives ne le sont qu’après expiration du délai de transposition et lorsque leurs dispositions sont claires, précises et inconditionnelles (cf. arrêt du 4 décembre 1974, Van Duyn).</w:t>
      </w:r>
    </w:p>
    <w:p w14:paraId="5EE340BC" w14:textId="77777777" w:rsidR="00C33620" w:rsidRPr="00E1707F" w:rsidRDefault="00C33620" w:rsidP="00E1707F">
      <w:pPr>
        <w:tabs>
          <w:tab w:val="left" w:pos="851"/>
        </w:tabs>
        <w:spacing w:line="276" w:lineRule="auto"/>
        <w:contextualSpacing/>
        <w:jc w:val="lowKashida"/>
        <w:rPr>
          <w:rFonts w:ascii="Garamond" w:hAnsi="Garamond" w:cstheme="majorBidi"/>
        </w:rPr>
      </w:pPr>
    </w:p>
    <w:p w14:paraId="1FFB3B93" w14:textId="77777777" w:rsidR="00C33620"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C’est l’arrêt Costa contre Enel du 15 juillet 1964 déjà mentionné qui a consacré le principe de primauté. La CJCE y a jugé que le droit issu des institutions européennes s’intégrait aux systèmes juridiques des États membres qui sont obligés de le respecter. Si une règle nationale est contraire à une disposition du droit de l’Union, les autorités des États membres doivent faire prévaloir la disposition européenne. Pour la CJCE, la primauté du droit européen sur les droits nationaux est absolue : tous les actes européens ayant une force obligatoire en bénéficient, qu’ils soient issus du droit primaire ou du droit dérivé et tous les actes nationaux y sont soumis, quelle que soit leur </w:t>
      </w:r>
      <w:r w:rsidRPr="00E1707F">
        <w:rPr>
          <w:rFonts w:ascii="Garamond" w:hAnsi="Garamond" w:cstheme="majorBidi"/>
        </w:rPr>
        <w:lastRenderedPageBreak/>
        <w:t>nature, (CJCE, 17</w:t>
      </w:r>
      <w:r>
        <w:rPr>
          <w:rFonts w:ascii="Garamond" w:hAnsi="Garamond" w:cstheme="majorBidi"/>
        </w:rPr>
        <w:t xml:space="preserve"> </w:t>
      </w:r>
      <w:r w:rsidRPr="00E1707F">
        <w:rPr>
          <w:rFonts w:ascii="Garamond" w:hAnsi="Garamond" w:cstheme="majorBidi"/>
        </w:rPr>
        <w:t>décembre 1970, Internationale Handelsgesellschaft, C/ 11-70), donc y compris constitutionnelle.</w:t>
      </w:r>
    </w:p>
    <w:p w14:paraId="39FC1120" w14:textId="77777777" w:rsidR="00C33620" w:rsidRDefault="00C33620" w:rsidP="00E1707F">
      <w:pPr>
        <w:tabs>
          <w:tab w:val="left" w:pos="851"/>
        </w:tabs>
        <w:spacing w:line="276" w:lineRule="auto"/>
        <w:contextualSpacing/>
        <w:jc w:val="lowKashida"/>
        <w:rPr>
          <w:rFonts w:ascii="Garamond" w:hAnsi="Garamond" w:cstheme="majorBidi"/>
        </w:rPr>
      </w:pPr>
    </w:p>
    <w:p w14:paraId="7CC25595" w14:textId="4F375BA4" w:rsidR="00E1707F"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La reconnaissance de la primauté du droit de l’Union sur les lois nationales découle de la jurisprudence </w:t>
      </w:r>
      <w:proofErr w:type="spellStart"/>
      <w:r w:rsidRPr="00E1707F">
        <w:rPr>
          <w:rFonts w:ascii="Garamond" w:hAnsi="Garamond" w:cstheme="majorBidi"/>
        </w:rPr>
        <w:t>Nicolo</w:t>
      </w:r>
      <w:proofErr w:type="spellEnd"/>
      <w:r w:rsidRPr="00E1707F">
        <w:rPr>
          <w:rFonts w:ascii="Garamond" w:hAnsi="Garamond" w:cstheme="majorBidi"/>
        </w:rPr>
        <w:t xml:space="preserve"> du Conseil d’Etat (CE, </w:t>
      </w:r>
      <w:proofErr w:type="spellStart"/>
      <w:r w:rsidRPr="00E1707F">
        <w:rPr>
          <w:rFonts w:ascii="Garamond" w:hAnsi="Garamond" w:cstheme="majorBidi"/>
        </w:rPr>
        <w:t>Ass</w:t>
      </w:r>
      <w:proofErr w:type="spellEnd"/>
      <w:r w:rsidRPr="00E1707F">
        <w:rPr>
          <w:rFonts w:ascii="Garamond" w:hAnsi="Garamond" w:cstheme="majorBidi"/>
        </w:rPr>
        <w:t xml:space="preserve">., 20 octobre 1989, n° 108 243), par laquelle le juge administratif français a accepté de contrôler la compatibilité d'une loi, même postérieure, avec les stipulations d'un traité, en application de l'article 55 de la Constitution. Cette jurisprudence concerne l’ensemble du droit international. De même qu'il refusait d'examiner la conformité d'une loi à la Constitution, le Conseil d'État s’était dans un premier temps refusé à examiner la compatibilité d'une loi à un traité signé avant son adoption (Sect. 1er mars 1968, Syndicat général des fabricants de semoules de France), en considérant qu'il appartenait au seul Conseil Constitutionnel de procéder à ce contrôle de conventionnalité. Mais en 1975, le Conseil Constitutionnel a adopté une position différente en jugeant qu'il ne lui appartenait pas de contrôler la conformité d'une loi avec un traité (Cons. </w:t>
      </w:r>
      <w:proofErr w:type="spellStart"/>
      <w:proofErr w:type="gramStart"/>
      <w:r w:rsidRPr="00E1707F">
        <w:rPr>
          <w:rFonts w:ascii="Garamond" w:hAnsi="Garamond" w:cstheme="majorBidi"/>
        </w:rPr>
        <w:t>const</w:t>
      </w:r>
      <w:proofErr w:type="spellEnd"/>
      <w:proofErr w:type="gramEnd"/>
      <w:r w:rsidRPr="00E1707F">
        <w:rPr>
          <w:rFonts w:ascii="Garamond" w:hAnsi="Garamond" w:cstheme="majorBidi"/>
        </w:rPr>
        <w:t xml:space="preserve">., décision n° 74-54 DC du 15 janvier 1975), contrôle qu’il a ensuite accepté d’effectuer dans ses fonctions de juge électoral (Cons. </w:t>
      </w:r>
      <w:proofErr w:type="spellStart"/>
      <w:r w:rsidRPr="00E1707F">
        <w:rPr>
          <w:rFonts w:ascii="Garamond" w:hAnsi="Garamond" w:cstheme="majorBidi"/>
        </w:rPr>
        <w:t>const</w:t>
      </w:r>
      <w:proofErr w:type="spellEnd"/>
      <w:r w:rsidRPr="00E1707F">
        <w:rPr>
          <w:rFonts w:ascii="Garamond" w:hAnsi="Garamond" w:cstheme="majorBidi"/>
        </w:rPr>
        <w:t>., Elections du Val d’Oise, décision n° 88-1082/1117 AN du 21 octobre 1988).</w:t>
      </w:r>
    </w:p>
    <w:p w14:paraId="19C37946" w14:textId="77777777" w:rsidR="00C33620" w:rsidRPr="00E1707F" w:rsidRDefault="00C33620" w:rsidP="00E1707F">
      <w:pPr>
        <w:tabs>
          <w:tab w:val="left" w:pos="851"/>
        </w:tabs>
        <w:spacing w:line="276" w:lineRule="auto"/>
        <w:contextualSpacing/>
        <w:jc w:val="lowKashida"/>
        <w:rPr>
          <w:rFonts w:ascii="Garamond" w:hAnsi="Garamond" w:cstheme="majorBidi"/>
        </w:rPr>
      </w:pPr>
    </w:p>
    <w:p w14:paraId="465A2A9E" w14:textId="7B102BF9" w:rsidR="00E1707F"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Le Conseil d'État a progressivement étendu le bénéfice du régime de l'article 55 de la Constitution à l'ensemble des actes de droit de l’Union européenne, qu'il a accepté de faire prévaloir sur les lois : les règlements (CE, 24 septembre 1990, Boisdet, n° 58 657) et les directives (CE, </w:t>
      </w:r>
      <w:proofErr w:type="spellStart"/>
      <w:r w:rsidRPr="00E1707F">
        <w:rPr>
          <w:rFonts w:ascii="Garamond" w:hAnsi="Garamond" w:cstheme="majorBidi"/>
        </w:rPr>
        <w:t>Ass</w:t>
      </w:r>
      <w:proofErr w:type="spellEnd"/>
      <w:r w:rsidRPr="00E1707F">
        <w:rPr>
          <w:rFonts w:ascii="Garamond" w:hAnsi="Garamond" w:cstheme="majorBidi"/>
        </w:rPr>
        <w:t xml:space="preserve">. 28 février 1992, S.A. Rothmans International France et S.A. Philip Morris France, n° 56 776).  La supériorité du droit de l’UE vaut également pour les principes généraux dégagés par la cour de justice (CE, 7 juillet 2006, Société </w:t>
      </w:r>
      <w:proofErr w:type="spellStart"/>
      <w:r w:rsidRPr="00E1707F">
        <w:rPr>
          <w:rFonts w:ascii="Garamond" w:hAnsi="Garamond" w:cstheme="majorBidi"/>
        </w:rPr>
        <w:t>Poweo</w:t>
      </w:r>
      <w:proofErr w:type="spellEnd"/>
      <w:r w:rsidRPr="00E1707F">
        <w:rPr>
          <w:rFonts w:ascii="Garamond" w:hAnsi="Garamond" w:cstheme="majorBidi"/>
        </w:rPr>
        <w:t>, n° 289 012 ; CE, 27 juin 2008, Société d'exploitation des sources Roxane, n° 276 848).</w:t>
      </w:r>
    </w:p>
    <w:p w14:paraId="3673DC7B" w14:textId="77777777" w:rsidR="00C33620" w:rsidRPr="00E1707F" w:rsidRDefault="00C33620" w:rsidP="00E1707F">
      <w:pPr>
        <w:tabs>
          <w:tab w:val="left" w:pos="851"/>
        </w:tabs>
        <w:spacing w:line="276" w:lineRule="auto"/>
        <w:contextualSpacing/>
        <w:jc w:val="lowKashida"/>
        <w:rPr>
          <w:rFonts w:ascii="Garamond" w:hAnsi="Garamond" w:cstheme="majorBidi"/>
        </w:rPr>
      </w:pPr>
    </w:p>
    <w:p w14:paraId="4F8D103F" w14:textId="3E7CE869" w:rsidR="00E1707F" w:rsidRPr="00E1707F"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S’agissant de l’effet direct du droit de l’Union, par son arrêt Mme Perreux (CE, </w:t>
      </w:r>
      <w:proofErr w:type="spellStart"/>
      <w:r w:rsidRPr="00E1707F">
        <w:rPr>
          <w:rFonts w:ascii="Garamond" w:hAnsi="Garamond" w:cstheme="majorBidi"/>
        </w:rPr>
        <w:t>Ass</w:t>
      </w:r>
      <w:proofErr w:type="spellEnd"/>
      <w:r w:rsidRPr="00E1707F">
        <w:rPr>
          <w:rFonts w:ascii="Garamond" w:hAnsi="Garamond" w:cstheme="majorBidi"/>
        </w:rPr>
        <w:t>, 30 octobre 2009, n° 298 348), le Conseil d’Etat a mis un terme définitif aux controverses issues de la jurisprudence d’Assemblée du 22 décembre 1978, Ministre de l’intérieur c/ Cohn-Bendit (n° 11 604) dont la portée avait été progressivement atténuée. Cette décision reconnaît, à l’expiration du délai de transposition, l’effet direct « vertical ascendant » des directives, même non transposées. En vertu de cette jurisprudence, les particuliers peuvent se</w:t>
      </w:r>
      <w:r w:rsidR="00C33620">
        <w:rPr>
          <w:rFonts w:ascii="Garamond" w:hAnsi="Garamond" w:cstheme="majorBidi"/>
        </w:rPr>
        <w:t xml:space="preserve"> </w:t>
      </w:r>
      <w:r w:rsidRPr="00E1707F">
        <w:rPr>
          <w:rFonts w:ascii="Garamond" w:hAnsi="Garamond" w:cstheme="majorBidi"/>
        </w:rPr>
        <w:t>prévaloir, à l’appui d’un recours dirigé contre un acte administratif, des dispositions précises et inconditionnelles d’une directive, lorsque l’Etat français n’a pas pris, dans les délais impartis, les mesures de transposition nécessaires.</w:t>
      </w:r>
    </w:p>
    <w:p w14:paraId="1251DB1E" w14:textId="77777777" w:rsidR="00C33620" w:rsidRDefault="00C33620" w:rsidP="00E1707F">
      <w:pPr>
        <w:tabs>
          <w:tab w:val="left" w:pos="851"/>
        </w:tabs>
        <w:spacing w:line="276" w:lineRule="auto"/>
        <w:contextualSpacing/>
        <w:jc w:val="lowKashida"/>
        <w:rPr>
          <w:rFonts w:ascii="Garamond" w:hAnsi="Garamond" w:cstheme="majorBidi"/>
        </w:rPr>
      </w:pPr>
    </w:p>
    <w:p w14:paraId="1BFA64E0" w14:textId="372F746D" w:rsidR="00DE48CF" w:rsidRDefault="00E1707F" w:rsidP="00E1707F">
      <w:pPr>
        <w:tabs>
          <w:tab w:val="left" w:pos="851"/>
        </w:tabs>
        <w:spacing w:line="276" w:lineRule="auto"/>
        <w:contextualSpacing/>
        <w:jc w:val="lowKashida"/>
        <w:rPr>
          <w:rFonts w:ascii="Garamond" w:hAnsi="Garamond" w:cstheme="majorBidi"/>
        </w:rPr>
      </w:pPr>
      <w:r w:rsidRPr="00E1707F">
        <w:rPr>
          <w:rFonts w:ascii="Garamond" w:hAnsi="Garamond" w:cstheme="majorBidi"/>
        </w:rPr>
        <w:t xml:space="preserve">Par l’ensemble de cette jurisprudence, le juge administratif joue, comme tout juge national, son rôle de « juge de droit commun d’application du droit de l’Union » (CE, </w:t>
      </w:r>
      <w:proofErr w:type="spellStart"/>
      <w:r w:rsidRPr="00E1707F">
        <w:rPr>
          <w:rFonts w:ascii="Garamond" w:hAnsi="Garamond" w:cstheme="majorBidi"/>
        </w:rPr>
        <w:t>Ass</w:t>
      </w:r>
      <w:proofErr w:type="spellEnd"/>
      <w:r w:rsidRPr="00E1707F">
        <w:rPr>
          <w:rFonts w:ascii="Garamond" w:hAnsi="Garamond" w:cstheme="majorBidi"/>
        </w:rPr>
        <w:t xml:space="preserve">., 30 octobre 2009, Mme Perreux, n° 298 348), qu’il regarde, comme la Cour de justice, comme un « ordre juridique intégré » à l’ordre juridique national (CE, </w:t>
      </w:r>
      <w:proofErr w:type="spellStart"/>
      <w:r w:rsidRPr="00E1707F">
        <w:rPr>
          <w:rFonts w:ascii="Garamond" w:hAnsi="Garamond" w:cstheme="majorBidi"/>
        </w:rPr>
        <w:t>Ass</w:t>
      </w:r>
      <w:proofErr w:type="spellEnd"/>
      <w:r w:rsidRPr="00E1707F">
        <w:rPr>
          <w:rFonts w:ascii="Garamond" w:hAnsi="Garamond" w:cstheme="majorBidi"/>
        </w:rPr>
        <w:t>., 23 décembre 2011, M. Kandyrine de Brito Paiva, n° 303 678).</w:t>
      </w:r>
    </w:p>
    <w:p w14:paraId="32925742" w14:textId="332A5AC4" w:rsidR="00C33620" w:rsidRDefault="00C33620" w:rsidP="00E1707F">
      <w:pPr>
        <w:tabs>
          <w:tab w:val="left" w:pos="851"/>
        </w:tabs>
        <w:spacing w:line="276" w:lineRule="auto"/>
        <w:contextualSpacing/>
        <w:jc w:val="lowKashida"/>
        <w:rPr>
          <w:rFonts w:ascii="Garamond" w:hAnsi="Garamond" w:cstheme="majorBidi"/>
        </w:rPr>
      </w:pPr>
    </w:p>
    <w:p w14:paraId="64AA4F3D" w14:textId="70A67564" w:rsidR="00C33620" w:rsidRDefault="00C33620" w:rsidP="00E1707F">
      <w:pPr>
        <w:tabs>
          <w:tab w:val="left" w:pos="851"/>
        </w:tabs>
        <w:spacing w:line="276" w:lineRule="auto"/>
        <w:contextualSpacing/>
        <w:jc w:val="lowKashida"/>
        <w:rPr>
          <w:rFonts w:ascii="Garamond" w:hAnsi="Garamond" w:cstheme="majorBidi"/>
        </w:rPr>
      </w:pPr>
    </w:p>
    <w:p w14:paraId="3CF26016" w14:textId="395CEF0E" w:rsidR="007B6C9F" w:rsidRDefault="007B6C9F" w:rsidP="00E1707F">
      <w:pPr>
        <w:tabs>
          <w:tab w:val="left" w:pos="851"/>
        </w:tabs>
        <w:spacing w:line="276" w:lineRule="auto"/>
        <w:contextualSpacing/>
        <w:jc w:val="lowKashida"/>
        <w:rPr>
          <w:rFonts w:ascii="Garamond" w:hAnsi="Garamond" w:cstheme="majorBidi"/>
        </w:rPr>
      </w:pPr>
    </w:p>
    <w:p w14:paraId="3D4BB55E" w14:textId="1C79A35A" w:rsidR="007B6C9F" w:rsidRDefault="007B6C9F" w:rsidP="00E1707F">
      <w:pPr>
        <w:tabs>
          <w:tab w:val="left" w:pos="851"/>
        </w:tabs>
        <w:spacing w:line="276" w:lineRule="auto"/>
        <w:contextualSpacing/>
        <w:jc w:val="lowKashida"/>
        <w:rPr>
          <w:rFonts w:ascii="Garamond" w:hAnsi="Garamond" w:cstheme="majorBidi"/>
        </w:rPr>
      </w:pPr>
    </w:p>
    <w:p w14:paraId="017C8320" w14:textId="20BF046B" w:rsidR="007B6C9F" w:rsidRDefault="007B6C9F" w:rsidP="00E1707F">
      <w:pPr>
        <w:tabs>
          <w:tab w:val="left" w:pos="851"/>
        </w:tabs>
        <w:spacing w:line="276" w:lineRule="auto"/>
        <w:contextualSpacing/>
        <w:jc w:val="lowKashida"/>
        <w:rPr>
          <w:rFonts w:ascii="Garamond" w:hAnsi="Garamond" w:cstheme="majorBidi"/>
        </w:rPr>
      </w:pPr>
    </w:p>
    <w:p w14:paraId="5B1953A3" w14:textId="77777777" w:rsidR="007B6C9F" w:rsidRDefault="007B6C9F" w:rsidP="00E1707F">
      <w:pPr>
        <w:tabs>
          <w:tab w:val="left" w:pos="851"/>
        </w:tabs>
        <w:spacing w:line="276" w:lineRule="auto"/>
        <w:contextualSpacing/>
        <w:jc w:val="lowKashida"/>
        <w:rPr>
          <w:rFonts w:ascii="Garamond" w:hAnsi="Garamond" w:cstheme="majorBidi"/>
        </w:rPr>
      </w:pPr>
    </w:p>
    <w:p w14:paraId="2B1618E9" w14:textId="77777777" w:rsidR="00F57C6E" w:rsidRDefault="00F57C6E" w:rsidP="00E1707F">
      <w:pPr>
        <w:tabs>
          <w:tab w:val="left" w:pos="851"/>
        </w:tabs>
        <w:spacing w:line="276" w:lineRule="auto"/>
        <w:contextualSpacing/>
        <w:jc w:val="lowKashida"/>
        <w:rPr>
          <w:rFonts w:ascii="Garamond" w:hAnsi="Garamond" w:cstheme="majorBidi"/>
        </w:rPr>
      </w:pPr>
    </w:p>
    <w:p w14:paraId="323FE41E" w14:textId="29FA4671" w:rsidR="00F57C6E" w:rsidRDefault="00F57C6E" w:rsidP="00F57C6E">
      <w:pPr>
        <w:spacing w:line="276" w:lineRule="auto"/>
        <w:contextualSpacing/>
        <w:rPr>
          <w:rFonts w:ascii="Garamond" w:hAnsi="Garamond"/>
          <w:i/>
          <w:iCs/>
        </w:rPr>
      </w:pPr>
      <w:r>
        <w:rPr>
          <w:rFonts w:ascii="Garamond" w:hAnsi="Garamond"/>
          <w:b/>
          <w:bCs/>
        </w:rPr>
        <w:lastRenderedPageBreak/>
        <w:t xml:space="preserve">DOCUMENT </w:t>
      </w:r>
      <w:r w:rsidR="007B6C9F">
        <w:rPr>
          <w:rFonts w:ascii="Garamond" w:hAnsi="Garamond"/>
          <w:b/>
          <w:bCs/>
        </w:rPr>
        <w:t>3</w:t>
      </w:r>
      <w:r>
        <w:rPr>
          <w:rFonts w:ascii="Garamond" w:hAnsi="Garamond"/>
          <w:b/>
          <w:bCs/>
        </w:rPr>
        <w:t xml:space="preserve"> : </w:t>
      </w:r>
      <w:r w:rsidRPr="006C40A5">
        <w:rPr>
          <w:rFonts w:ascii="Garamond" w:hAnsi="Garamond"/>
        </w:rPr>
        <w:t xml:space="preserve">Conseil d’État, 21 avril 2021, </w:t>
      </w:r>
      <w:r w:rsidRPr="006C40A5">
        <w:rPr>
          <w:rFonts w:ascii="Garamond" w:hAnsi="Garamond"/>
          <w:i/>
          <w:iCs/>
        </w:rPr>
        <w:t>Association French Data Network</w:t>
      </w:r>
      <w:r>
        <w:rPr>
          <w:rFonts w:ascii="Garamond" w:hAnsi="Garamond"/>
          <w:i/>
          <w:iCs/>
        </w:rPr>
        <w:t>.</w:t>
      </w:r>
    </w:p>
    <w:p w14:paraId="0FEDB51C" w14:textId="77777777" w:rsidR="00F57C6E" w:rsidRDefault="00F57C6E" w:rsidP="00F57C6E">
      <w:pPr>
        <w:tabs>
          <w:tab w:val="left" w:pos="851"/>
        </w:tabs>
        <w:spacing w:line="276" w:lineRule="auto"/>
        <w:contextualSpacing/>
        <w:jc w:val="both"/>
        <w:rPr>
          <w:rFonts w:ascii="Garamond" w:hAnsi="Garamond"/>
        </w:rPr>
      </w:pPr>
    </w:p>
    <w:p w14:paraId="39B1E8C3" w14:textId="5E0C10CF"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19FC6843" w14:textId="03389781" w:rsidR="00F57C6E" w:rsidRDefault="00F57C6E" w:rsidP="00F57C6E">
      <w:pPr>
        <w:spacing w:line="276" w:lineRule="auto"/>
        <w:contextualSpacing/>
        <w:rPr>
          <w:rFonts w:ascii="Garamond" w:hAnsi="Garamond"/>
          <w:i/>
          <w:iCs/>
        </w:rPr>
      </w:pPr>
    </w:p>
    <w:p w14:paraId="2D18D614" w14:textId="6B488C4E" w:rsidR="00F57C6E" w:rsidRPr="00F57C6E" w:rsidRDefault="00F57C6E" w:rsidP="00F57C6E">
      <w:pPr>
        <w:spacing w:line="276" w:lineRule="auto"/>
        <w:contextualSpacing/>
        <w:jc w:val="both"/>
        <w:rPr>
          <w:rFonts w:ascii="Garamond" w:hAnsi="Garamond"/>
        </w:rPr>
      </w:pPr>
      <w:r w:rsidRPr="00F57C6E">
        <w:rPr>
          <w:rFonts w:ascii="Garamond" w:hAnsi="Garamond"/>
        </w:rPr>
        <w:t>8. En revanche, et contrairement à ce que soutient le Premier ministre, il n'appartient pas au juge administratif de s'assurer du respect, par le droit dérivé de l'Union européenne ou par la Cour de justice elle-même, de la répartition des compétences entre l'Union européenne et les Etats membres. Il ne saurait ainsi exercer un contrôle sur la conformité au droit de l'Union des décisions de la Cour de justice et, notamment, priver de telles décisions de la force obligatoire dont elles sont revêtues, rappelée par l'article 91 de son règlement de procédure, au motif que celle-ci aurait excédé sa compétence en conférant à un principe ou à un acte du droit de l'Union une portée excédant le champ d'application prévu par les traités.</w:t>
      </w:r>
    </w:p>
    <w:p w14:paraId="593B8CE9" w14:textId="5C99BB28" w:rsidR="00F57C6E" w:rsidRDefault="00F57C6E" w:rsidP="00F57C6E">
      <w:pPr>
        <w:spacing w:line="276" w:lineRule="auto"/>
        <w:contextualSpacing/>
        <w:rPr>
          <w:rFonts w:ascii="Garamond" w:hAnsi="Garamond"/>
          <w:b/>
          <w:bCs/>
        </w:rPr>
      </w:pPr>
    </w:p>
    <w:p w14:paraId="785E5B4E"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10ADD8AF" w14:textId="77777777" w:rsidR="00F57C6E" w:rsidRPr="006C40A5" w:rsidRDefault="00F57C6E" w:rsidP="00F57C6E">
      <w:pPr>
        <w:spacing w:line="276" w:lineRule="auto"/>
        <w:contextualSpacing/>
        <w:rPr>
          <w:rFonts w:ascii="Garamond" w:hAnsi="Garamond"/>
          <w:b/>
          <w:bCs/>
        </w:rPr>
      </w:pPr>
    </w:p>
    <w:p w14:paraId="71D3C49A" w14:textId="016D32FF" w:rsidR="00C33620" w:rsidRDefault="00C33620" w:rsidP="00E1707F">
      <w:pPr>
        <w:tabs>
          <w:tab w:val="left" w:pos="851"/>
        </w:tabs>
        <w:spacing w:line="276" w:lineRule="auto"/>
        <w:contextualSpacing/>
        <w:jc w:val="lowKashida"/>
        <w:rPr>
          <w:rFonts w:ascii="Garamond" w:hAnsi="Garamond" w:cstheme="majorBidi"/>
        </w:rPr>
      </w:pPr>
    </w:p>
    <w:p w14:paraId="554A2139" w14:textId="77777777" w:rsidR="007B6C9F" w:rsidRDefault="007B6C9F" w:rsidP="00E1707F">
      <w:pPr>
        <w:tabs>
          <w:tab w:val="left" w:pos="851"/>
        </w:tabs>
        <w:spacing w:line="276" w:lineRule="auto"/>
        <w:contextualSpacing/>
        <w:jc w:val="lowKashida"/>
        <w:rPr>
          <w:rFonts w:ascii="Garamond" w:hAnsi="Garamond" w:cstheme="majorBidi"/>
        </w:rPr>
      </w:pPr>
    </w:p>
    <w:p w14:paraId="5A8CD623" w14:textId="77777777" w:rsidR="00C33620" w:rsidRPr="009A2754" w:rsidRDefault="00C33620" w:rsidP="00C33620">
      <w:pPr>
        <w:pBdr>
          <w:top w:val="single" w:sz="4" w:space="1" w:color="auto"/>
          <w:left w:val="single" w:sz="4" w:space="4" w:color="auto"/>
          <w:bottom w:val="single" w:sz="4" w:space="1" w:color="auto"/>
          <w:right w:val="single" w:sz="4" w:space="4" w:color="auto"/>
        </w:pBdr>
        <w:tabs>
          <w:tab w:val="left" w:pos="851"/>
        </w:tabs>
        <w:spacing w:line="276" w:lineRule="auto"/>
        <w:contextualSpacing/>
        <w:jc w:val="center"/>
        <w:rPr>
          <w:rFonts w:ascii="Garamond" w:hAnsi="Garamond"/>
          <w:b/>
          <w:bCs/>
        </w:rPr>
      </w:pPr>
      <w:r w:rsidRPr="009A2754">
        <w:rPr>
          <w:rFonts w:ascii="Garamond" w:hAnsi="Garamond"/>
          <w:b/>
          <w:bCs/>
        </w:rPr>
        <w:t xml:space="preserve">II. </w:t>
      </w:r>
      <w:r>
        <w:rPr>
          <w:rFonts w:ascii="Garamond" w:hAnsi="Garamond"/>
          <w:b/>
          <w:bCs/>
        </w:rPr>
        <w:t>Le contrôle des lois et règlements de transposition des directives européennes</w:t>
      </w:r>
    </w:p>
    <w:p w14:paraId="67FFE516" w14:textId="77777777" w:rsidR="00C33620" w:rsidRDefault="00C33620" w:rsidP="00C33620">
      <w:pPr>
        <w:tabs>
          <w:tab w:val="left" w:pos="851"/>
        </w:tabs>
        <w:spacing w:line="276" w:lineRule="auto"/>
        <w:contextualSpacing/>
        <w:jc w:val="both"/>
        <w:rPr>
          <w:rFonts w:ascii="Garamond" w:hAnsi="Garamond"/>
        </w:rPr>
      </w:pPr>
    </w:p>
    <w:p w14:paraId="5F047E2B" w14:textId="77777777" w:rsidR="00C33620" w:rsidRDefault="00C33620" w:rsidP="00C33620">
      <w:pPr>
        <w:tabs>
          <w:tab w:val="left" w:pos="851"/>
        </w:tabs>
        <w:spacing w:line="276" w:lineRule="auto"/>
        <w:contextualSpacing/>
        <w:jc w:val="both"/>
        <w:rPr>
          <w:rFonts w:ascii="Garamond" w:hAnsi="Garamond"/>
        </w:rPr>
      </w:pPr>
    </w:p>
    <w:p w14:paraId="4A691728" w14:textId="729D2EF8" w:rsidR="00C33620" w:rsidRDefault="00C33620" w:rsidP="00C33620">
      <w:pPr>
        <w:tabs>
          <w:tab w:val="left" w:pos="851"/>
        </w:tabs>
        <w:spacing w:line="276" w:lineRule="auto"/>
        <w:contextualSpacing/>
        <w:jc w:val="both"/>
        <w:rPr>
          <w:rFonts w:ascii="Garamond" w:hAnsi="Garamond"/>
          <w:b/>
          <w:bCs/>
        </w:rPr>
      </w:pPr>
      <w:r>
        <w:rPr>
          <w:rFonts w:ascii="Garamond" w:hAnsi="Garamond"/>
          <w:b/>
          <w:bCs/>
        </w:rPr>
        <w:t xml:space="preserve">DOCUMENT </w:t>
      </w:r>
      <w:r w:rsidR="007B6C9F">
        <w:rPr>
          <w:rFonts w:ascii="Garamond" w:hAnsi="Garamond"/>
          <w:b/>
          <w:bCs/>
        </w:rPr>
        <w:t>4</w:t>
      </w:r>
      <w:r>
        <w:rPr>
          <w:rFonts w:ascii="Garamond" w:hAnsi="Garamond"/>
          <w:b/>
          <w:bCs/>
        </w:rPr>
        <w:t xml:space="preserve"> : </w:t>
      </w:r>
      <w:r w:rsidRPr="002D09F1">
        <w:rPr>
          <w:rFonts w:ascii="Garamond" w:hAnsi="Garamond"/>
        </w:rPr>
        <w:t xml:space="preserve">Conseil d’État, 8 février 2007, </w:t>
      </w:r>
      <w:r w:rsidRPr="002D09F1">
        <w:rPr>
          <w:rFonts w:ascii="Garamond" w:hAnsi="Garamond"/>
          <w:i/>
          <w:iCs/>
        </w:rPr>
        <w:t>Société Arcelor.</w:t>
      </w:r>
    </w:p>
    <w:p w14:paraId="3CAA23B6" w14:textId="3D449432" w:rsidR="00C33620" w:rsidRDefault="00C33620" w:rsidP="00C33620">
      <w:pPr>
        <w:tabs>
          <w:tab w:val="left" w:pos="851"/>
        </w:tabs>
        <w:spacing w:line="276" w:lineRule="auto"/>
        <w:contextualSpacing/>
        <w:jc w:val="both"/>
        <w:rPr>
          <w:rFonts w:ascii="Garamond" w:hAnsi="Garamond"/>
        </w:rPr>
      </w:pPr>
    </w:p>
    <w:p w14:paraId="20019400" w14:textId="77777777" w:rsidR="00C33620" w:rsidRPr="00C33620" w:rsidRDefault="00C33620" w:rsidP="00C33620">
      <w:pPr>
        <w:tabs>
          <w:tab w:val="left" w:pos="851"/>
        </w:tabs>
        <w:spacing w:line="276" w:lineRule="auto"/>
        <w:contextualSpacing/>
        <w:jc w:val="both"/>
        <w:rPr>
          <w:rFonts w:ascii="Garamond" w:hAnsi="Garamond"/>
        </w:rPr>
      </w:pPr>
      <w:r>
        <w:rPr>
          <w:rFonts w:ascii="Garamond" w:hAnsi="Garamond"/>
        </w:rPr>
        <w:t>[…]</w:t>
      </w:r>
    </w:p>
    <w:p w14:paraId="0AF6254C" w14:textId="77777777" w:rsidR="00C33620" w:rsidRPr="00C33620" w:rsidRDefault="00C33620" w:rsidP="00C33620">
      <w:pPr>
        <w:tabs>
          <w:tab w:val="left" w:pos="851"/>
        </w:tabs>
        <w:spacing w:line="276" w:lineRule="auto"/>
        <w:contextualSpacing/>
        <w:jc w:val="both"/>
        <w:rPr>
          <w:rFonts w:ascii="Garamond" w:hAnsi="Garamond"/>
        </w:rPr>
      </w:pPr>
    </w:p>
    <w:p w14:paraId="0163F5E2"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 xml:space="preserve">Considérant qu'afin de favoriser la réduction des émissions de gaz à effet de serre, la directive 2003/87/CE du Parlement européen et du Conseil du 13 octobre 2003 a établi un système d'échange de quotas d'émission de gaz à effet de serre dans la Communauté européenne ; que l'annexe I de la directive fixe la liste des activités auxquelles elle s'applique ; qu'aux termes de son article 4 : « Les Etats membres veillent à ce que, à partir du 1er janvier 2005, aucune installation ne se livre à une activité visée à l'annexe I entraînant des émissions spécifiées en relation avec cette activité, à moins que son exploitant ne détienne une autorisation [...] » ; qu'aux termes de son article 6, l'autorisation d'émettre des gaz à effet de serre emporte notamment : « e) L'obligation de restituer, dans les quatre mois qui suivent la fin de chaque année civile, des quotas correspondant aux émissions totales de l'installation au cours de l'année civile écoulée [...] » ; que l'article 9 de la directive prévoit que, pour la période de trois ans qui débute le 1er janvier 2005, puis pour les périodes de cinq ans suivantes, chaque Etat membre doit élaborer un plan national d'allocation de quotas précisant la quantité totale de quotas qu'il a l'intention d'allouer pour la période considérée ; qu'aux termes de son article 10 : « Pour la période de trois ans qui débute le 1er janvier 2005, les Etats membres </w:t>
      </w:r>
      <w:proofErr w:type="spellStart"/>
      <w:r w:rsidRPr="00C33620">
        <w:rPr>
          <w:rFonts w:ascii="Garamond" w:hAnsi="Garamond"/>
        </w:rPr>
        <w:t>allocationnent</w:t>
      </w:r>
      <w:proofErr w:type="spellEnd"/>
      <w:r w:rsidRPr="00C33620">
        <w:rPr>
          <w:rFonts w:ascii="Garamond" w:hAnsi="Garamond"/>
        </w:rPr>
        <w:t xml:space="preserve"> au moins 95 % des quotas à titre gratuit. Pour la période de cinq ans qui débute le 1er janvier 2008, les Etats membres </w:t>
      </w:r>
      <w:proofErr w:type="spellStart"/>
      <w:r w:rsidRPr="00C33620">
        <w:rPr>
          <w:rFonts w:ascii="Garamond" w:hAnsi="Garamond"/>
        </w:rPr>
        <w:t>allocationnent</w:t>
      </w:r>
      <w:proofErr w:type="spellEnd"/>
      <w:r w:rsidRPr="00C33620">
        <w:rPr>
          <w:rFonts w:ascii="Garamond" w:hAnsi="Garamond"/>
        </w:rPr>
        <w:t xml:space="preserve"> au moins 90 % des quotas à titre gratuit » ; qu'en vertu de son article 11, il appartient à chaque Etat membre, sur la base de son plan national d'allocation des quotas, de décider, pour chaque période, de la quantité totale de quotas qu'il allouera et de l'attribution de ces quotas à l'exploitant de chaque installation, une partie de la quantité totale de quotas étant délivrée chaque année ; que son article 12 pose le principe selon lequel les quotas peuvent être transférés d'une personne à l'autre dans la Communauté ;</w:t>
      </w:r>
    </w:p>
    <w:p w14:paraId="72DC9652" w14:textId="77777777" w:rsidR="00C33620" w:rsidRPr="00C33620" w:rsidRDefault="00C33620" w:rsidP="00C33620">
      <w:pPr>
        <w:tabs>
          <w:tab w:val="left" w:pos="851"/>
        </w:tabs>
        <w:spacing w:line="276" w:lineRule="auto"/>
        <w:contextualSpacing/>
        <w:jc w:val="both"/>
        <w:rPr>
          <w:rFonts w:ascii="Garamond" w:hAnsi="Garamond"/>
        </w:rPr>
      </w:pPr>
    </w:p>
    <w:p w14:paraId="137FC2FA"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l'ordonnance du 15 avril 2004 portant création d'un système d'échange de quotas d'émission de gaz à effet de serre a procédé à la transposition en droit interne de celles des dispositions de la directive du 13 octobre 2003 qui relèvent du domaine de la loi ; qu'elle a, à cette fin, introduit au chapitre IX du titre II du livre II du code de l'environnement une section 2, intitulée « Quotas d'émission de gaz à effet de serre », comprenant les articles L. 229-5 à L. 229-19, dont les modalités d'application sont renvoyées à un décret en Conseil d'Etat ; qu'a été pris, sur ce fondement, le décret n° 2004-832 du 19 août 2004, modifié par le décret n° 2005-189 du 25 février 2005 ; que, par ailleurs, le plan national d'affectation des quotas d'émission de gaz à effet de serre pour la période 2005-2007 a été approuvé par le décret n° 2005-190 du 25 février 2005 ;</w:t>
      </w:r>
    </w:p>
    <w:p w14:paraId="2767A127" w14:textId="77777777" w:rsidR="00C33620" w:rsidRPr="00C33620" w:rsidRDefault="00C33620" w:rsidP="00C33620">
      <w:pPr>
        <w:tabs>
          <w:tab w:val="left" w:pos="851"/>
        </w:tabs>
        <w:spacing w:line="276" w:lineRule="auto"/>
        <w:contextualSpacing/>
        <w:jc w:val="both"/>
        <w:rPr>
          <w:rFonts w:ascii="Garamond" w:hAnsi="Garamond"/>
        </w:rPr>
      </w:pPr>
    </w:p>
    <w:p w14:paraId="4D9E0EB6"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la société Arcelor Atlantique et Lorraine et les autres requérants ont demandé le 12 juillet 2005 au président de la République, au Premier ministre, au ministre de l'Ecologie et du Développement durable et au ministre délégué à l'industrie, à titre principal, l'abrogation de l'article 1er du décret n° 2004-832 du 19 août 2004 en tant qu'il rend applicable ce décret aux installations du secteur sidérurgique et, à titre subsidiaire, celle des I et II de l'article 4 et de l'article 5 de ce décret ; que la présente requête tend à l'annulation des décisions implicites de rejet qui leur ont été opposées et à ce qu'il soit enjoint aux autorités compétentes de procéder aux abrogations en cause ;</w:t>
      </w:r>
    </w:p>
    <w:p w14:paraId="43A74923" w14:textId="77777777" w:rsidR="00C33620" w:rsidRPr="00C33620" w:rsidRDefault="00C33620" w:rsidP="00C33620">
      <w:pPr>
        <w:tabs>
          <w:tab w:val="left" w:pos="851"/>
        </w:tabs>
        <w:spacing w:line="276" w:lineRule="auto"/>
        <w:contextualSpacing/>
        <w:jc w:val="both"/>
        <w:rPr>
          <w:rFonts w:ascii="Garamond" w:hAnsi="Garamond"/>
        </w:rPr>
      </w:pPr>
    </w:p>
    <w:p w14:paraId="03ADA893"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l'autorité compétente, saisie d'une demande tendant à l'abrogation d'un règlement illégal, est tenue d'y déférer, soit que ce règlement ait été illégal dès la date de sa signature, soit que l'illégalité résulte de circonstances de droit ou de fait postérieures à cette date ;</w:t>
      </w:r>
    </w:p>
    <w:p w14:paraId="3828AF3F" w14:textId="77777777" w:rsidR="00C33620" w:rsidRPr="00C33620" w:rsidRDefault="00C33620" w:rsidP="00C33620">
      <w:pPr>
        <w:tabs>
          <w:tab w:val="left" w:pos="851"/>
        </w:tabs>
        <w:spacing w:line="276" w:lineRule="auto"/>
        <w:contextualSpacing/>
        <w:jc w:val="both"/>
        <w:rPr>
          <w:rFonts w:ascii="Garamond" w:hAnsi="Garamond"/>
        </w:rPr>
      </w:pPr>
    </w:p>
    <w:p w14:paraId="0BD7E54C"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Sur les conclusions dirigées contre le refus d'abroger l'article 1er du décret :</w:t>
      </w:r>
    </w:p>
    <w:p w14:paraId="74844D2D"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 xml:space="preserve">Considérant qu'aux termes de l'article 1er du décret du 19 août 2004 : « Le présent décret s'applique aux installations classées pour la protection de l'environnement produisant ou transformant des métaux ferreux, produisant de l'énergie, des produits minéraux, du papier ou de la pâte à papier et répondant aux critères fixés dans l'annexe au présent décret, au titre de leurs rejets de dioxyde de carbone dans l'atmosphère, à l'exception des installations ou parties d'installations utilisées pour la recherche, le développement et l'expérimentation de nouveaux produits et procédés » ; qu'aux termes du point II-A de l'annexe au décret, sont visées au titre des activités de production et de transformation des métaux ferreux, les « installations de grillage ou de frittage de minerai métallique, y compris de minerai sulfuré » et les « installations pour la production de fonte ou d'acier (fusion primaire ou secondaire), y compris les équipements pour </w:t>
      </w:r>
      <w:proofErr w:type="spellStart"/>
      <w:r w:rsidRPr="00C33620">
        <w:rPr>
          <w:rFonts w:ascii="Garamond" w:hAnsi="Garamond"/>
        </w:rPr>
        <w:t>coulée</w:t>
      </w:r>
      <w:proofErr w:type="spellEnd"/>
      <w:r w:rsidRPr="00C33620">
        <w:rPr>
          <w:rFonts w:ascii="Garamond" w:hAnsi="Garamond"/>
        </w:rPr>
        <w:t xml:space="preserve"> continue d'une capacité de plus de 2,5 tonnes par heure » ;</w:t>
      </w:r>
    </w:p>
    <w:p w14:paraId="1291BCDF" w14:textId="77777777" w:rsidR="00C33620" w:rsidRPr="00C33620" w:rsidRDefault="00C33620" w:rsidP="00C33620">
      <w:pPr>
        <w:tabs>
          <w:tab w:val="left" w:pos="851"/>
        </w:tabs>
        <w:spacing w:line="276" w:lineRule="auto"/>
        <w:contextualSpacing/>
        <w:jc w:val="both"/>
        <w:rPr>
          <w:rFonts w:ascii="Garamond" w:hAnsi="Garamond"/>
        </w:rPr>
      </w:pPr>
    </w:p>
    <w:p w14:paraId="7C0784DC"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la soumission des activités de production et de transformation des métaux ferreux au système d'échange de quotas d'émission de gaz à effet de serre est prévue par l'annexe I de la directive du 13 octobre 2003, dont l'annexe au décret du 19 août 2004 se borne à reprendre, à l'identique, le contenu ; qu'ainsi qu'il a été dit, la directive exclut la possibilité, pour un Etat membre, de soustraire des activités visées à l'annexe I au champ d'application du système ;</w:t>
      </w:r>
    </w:p>
    <w:p w14:paraId="4780E18F" w14:textId="77777777" w:rsidR="00C33620" w:rsidRPr="00C33620" w:rsidRDefault="00C33620" w:rsidP="00C33620">
      <w:pPr>
        <w:tabs>
          <w:tab w:val="left" w:pos="851"/>
        </w:tabs>
        <w:spacing w:line="276" w:lineRule="auto"/>
        <w:contextualSpacing/>
        <w:jc w:val="both"/>
        <w:rPr>
          <w:rFonts w:ascii="Garamond" w:hAnsi="Garamond"/>
        </w:rPr>
      </w:pPr>
    </w:p>
    <w:p w14:paraId="365A0BAF"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lastRenderedPageBreak/>
        <w:t>Considérant, en premier lieu, que le pouvoir réglementaire ne pouvait donc, en l'espèce, se livrer à aucune appréciation quant au champ d'application du décret ; que, dès lors, le moyen tiré de ce que celui-ci serait entaché d'erreur manifeste d'appréciation ne peut qu'être écarté ;</w:t>
      </w:r>
    </w:p>
    <w:p w14:paraId="377EFF28" w14:textId="77777777" w:rsidR="00C33620" w:rsidRPr="00C33620" w:rsidRDefault="00C33620" w:rsidP="00C33620">
      <w:pPr>
        <w:tabs>
          <w:tab w:val="left" w:pos="851"/>
        </w:tabs>
        <w:spacing w:line="276" w:lineRule="auto"/>
        <w:contextualSpacing/>
        <w:jc w:val="both"/>
        <w:rPr>
          <w:rFonts w:ascii="Garamond" w:hAnsi="Garamond"/>
        </w:rPr>
      </w:pPr>
    </w:p>
    <w:p w14:paraId="1E0F7F6B"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en deuxième lieu, qu'est invoqué le moyen tiré de ce que l'article 1er du décret méconnaîtrait le principe de sécurité juridique en tant que principe général du droit communautaire ; que, toutefois, la circonstance que les entreprises du secteur sidérurgique ne pourraient prévoir à quel prix elles devront, le cas échéant, acheter des quotas ne saurait caractériser une méconnaissance de ce principe ;</w:t>
      </w:r>
    </w:p>
    <w:p w14:paraId="5397F633"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 en troisième lieu, que les sociétés requérantes soutiennent que l'article 1er du décret méconnaîtrait plusieurs principes à valeur constitutionnelle ;</w:t>
      </w:r>
    </w:p>
    <w:p w14:paraId="07CCE390" w14:textId="77777777" w:rsidR="00C33620" w:rsidRPr="00C33620" w:rsidRDefault="00C33620" w:rsidP="00C33620">
      <w:pPr>
        <w:tabs>
          <w:tab w:val="left" w:pos="851"/>
        </w:tabs>
        <w:spacing w:line="276" w:lineRule="auto"/>
        <w:contextualSpacing/>
        <w:jc w:val="both"/>
        <w:rPr>
          <w:rFonts w:ascii="Garamond" w:hAnsi="Garamond"/>
        </w:rPr>
      </w:pPr>
    </w:p>
    <w:p w14:paraId="5A42C767"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si, aux termes de l'article 55 de la Constitution, « les traités ou accords régulièrement ratifiés ou approuvés ont, dès leur publication, une autorité supérieure à celle des lois, sous réserve, pour chaque accord ou traité, de son application par l'autre partie », la suprématie ainsi conférée aux engagements internationaux ne saurait s'imposer, dans l'ordre interne, aux principes et dispositions à valeur constitutionnelle ; qu'eu égard aux dispositions de l'article 88-1 de la Constitution, selon lesquelles « la République participe aux Communautés européennes et à l'Union européenne, constituées d'Etats qui ont choisi librement, en vertu des traités qui les ont instituées, d'exercer en commun certaines de leurs compétences », dont découle une obligation constitutionnelle de transposition des directives, le contrôle de constitutionnalité des actes réglementaires assurant directement cette transposition est appelé à s'exercer selon des modalités particulières dans le cas où sont transposées des dispositions précises et inconditionnelles ; qu'alors, si le contrôle des règles de compétence et de procédure ne se trouve pas affecté, il appartient au juge administratif, saisi d'un moyen tiré de la méconnaissance d'une disposition ou d'un principe de valeur constitutionnelle, de rechercher s'il existe une règle ou un principe général du droit communautaire qui, eu égard à sa nature et à sa portée, tel qu'il est interprété en l'état actuel de la jurisprudence du juge communautaire, garantit par son application l'effectivité du respect de la disposition ou du principe constitutionnel invoqué ; que, dans l'affirmative, il y a lieu pour le juge administratif, afin de s'assurer de la constitutionnalité du décret, de rechercher si la directive que ce décret transpose est conforme à cette règle ou à ce principe général du droit communautaire ; qu'il lui revient, en l'absence de difficulté sérieuse, d'écarter le moyen invoqué, ou, dans le cas contraire, de saisir la Cour de justice des Communautés européennes d'une question préjudicielle, dans les conditions prévues par l'article 234 du traité instituant la Communauté européenne ; qu'en revanche, s'il n'existe pas de règle ou de principe général du droit communautaire garantissant l'effectivité du respect de la disposition ou du principe constitutionnel invoqué, il revient au juge administratif d'examiner directement la constitutionnalité des dispositions réglementaires contestées ;</w:t>
      </w:r>
    </w:p>
    <w:p w14:paraId="4EE8AE2E" w14:textId="77777777" w:rsidR="00C33620" w:rsidRPr="00C33620" w:rsidRDefault="00C33620" w:rsidP="00C33620">
      <w:pPr>
        <w:tabs>
          <w:tab w:val="left" w:pos="851"/>
        </w:tabs>
        <w:spacing w:line="276" w:lineRule="auto"/>
        <w:contextualSpacing/>
        <w:jc w:val="both"/>
        <w:rPr>
          <w:rFonts w:ascii="Garamond" w:hAnsi="Garamond"/>
        </w:rPr>
      </w:pPr>
    </w:p>
    <w:p w14:paraId="4F6F0CE7"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les sociétés requérantes soutiennent que seraient méconnus le droit de propriété et la liberté d'entreprendre, dès lors que l'inclusion des entreprises du secteur sidérurgique dans le système les placerait dans une situation où elles seraient contraintes d'acquérir des quotas d'émission de gaz à effet de serre ; qu'en effet, le taux de réduction des émissions de gaz à effet de serre qui leur est imposé serait supérieur aux possibilités de réduction effective des émissions de gaz à effet de serre dont elles disposent en l'état des contraintes techniques et économiques ;</w:t>
      </w:r>
    </w:p>
    <w:p w14:paraId="724ECCDC" w14:textId="77777777" w:rsidR="00C33620" w:rsidRPr="00C33620" w:rsidRDefault="00C33620" w:rsidP="00C33620">
      <w:pPr>
        <w:tabs>
          <w:tab w:val="left" w:pos="851"/>
        </w:tabs>
        <w:spacing w:line="276" w:lineRule="auto"/>
        <w:contextualSpacing/>
        <w:jc w:val="both"/>
        <w:rPr>
          <w:rFonts w:ascii="Garamond" w:hAnsi="Garamond"/>
        </w:rPr>
      </w:pPr>
    </w:p>
    <w:p w14:paraId="5416170C"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lastRenderedPageBreak/>
        <w:t>Considérant, que le droit de propriété et la liberté d'entreprendre constituent des principes généraux du droit communautaire ; qu'ils ont, au regard du moyen invoqué, une portée garantissant l'effectivité du respect des principes et dispositions de valeur constitutionnelle dont la méconnaissance est alléguée ; qu'il y a lieu, dès lors, pour le Conseil d'Etat, de rechercher si la directive du 13 octobre 2003, en tant qu'elle inclut dans son champ d'application les entreprises du secteur sidérurgique, ne contrevient pas elle-même à ces principes généraux du droit communautaire ;</w:t>
      </w:r>
    </w:p>
    <w:p w14:paraId="6E7EFC67" w14:textId="77777777" w:rsidR="00C33620" w:rsidRPr="00C33620" w:rsidRDefault="00C33620" w:rsidP="00C33620">
      <w:pPr>
        <w:tabs>
          <w:tab w:val="left" w:pos="851"/>
        </w:tabs>
        <w:spacing w:line="276" w:lineRule="auto"/>
        <w:contextualSpacing/>
        <w:jc w:val="both"/>
        <w:rPr>
          <w:rFonts w:ascii="Garamond" w:hAnsi="Garamond"/>
        </w:rPr>
      </w:pPr>
    </w:p>
    <w:p w14:paraId="18A5DB7B"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la seule circonstance que les entreprises du secteur sidérurgique soient incluses dans le système d'échange de quotas d'émission de gaz à effet de serre ne saurait être regardée comme portant atteinte aux principes généraux du droit communautaire qui garantissent le droit de propriété et la liberté d'entreprendre, dès lors qu'une telle atteinte ne pourrait résulter, le cas échéant, que du niveau de réduction des émissions de gaz à effet de serre assigné à ce secteur dans le cadre du plan national d'allocation des quotas prévu par l'article 8 de la directive et approuvé par un décret distinct du décret contesté ; Considérant que les sociétés requérantes mettent en cause également la méconnaissance du principe à valeur constitutionnelle d'égalité ;</w:t>
      </w:r>
    </w:p>
    <w:p w14:paraId="2DE1AC11" w14:textId="77777777" w:rsidR="00C33620" w:rsidRPr="00C33620" w:rsidRDefault="00C33620" w:rsidP="00C33620">
      <w:pPr>
        <w:tabs>
          <w:tab w:val="left" w:pos="851"/>
        </w:tabs>
        <w:spacing w:line="276" w:lineRule="auto"/>
        <w:contextualSpacing/>
        <w:jc w:val="both"/>
        <w:rPr>
          <w:rFonts w:ascii="Garamond" w:hAnsi="Garamond"/>
        </w:rPr>
      </w:pPr>
    </w:p>
    <w:p w14:paraId="4592CC5C"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qu'elles font valoir, tout d'abord, que les entreprises du secteur sidérurgique se trouveraient placées dans une situation différente de celles des autres entreprises soumises au système d'échange de quotas d'émission de gaz à effet de serre et ne pourraient, dès lors, faire l'objet du même traitement ; que, cependant, le principe constitutionnel d'égalité n'implique pas que des personnes se trouvant dans des situations différentes doivent être soumises à des régimes différents ; qu'il suit de là que le moyen ne saurait être utilement invoqué ;</w:t>
      </w:r>
    </w:p>
    <w:p w14:paraId="2BB6CA80"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 toutefois, que les sociétés requérantes soutiennent en outre que l'article 1er du décret attaqué méconnaît le principe d'égalité au motif que les entreprises relevant de secteurs concurrents, notamment du plastique et de l'aluminium, et émettant des quantités équivalentes de gaz à effet de serre, ne sont pas assujetties au système d'échange de quotas ;</w:t>
      </w:r>
    </w:p>
    <w:p w14:paraId="1E836B9D" w14:textId="77777777" w:rsidR="00C33620" w:rsidRPr="00C33620" w:rsidRDefault="00C33620" w:rsidP="00C33620">
      <w:pPr>
        <w:tabs>
          <w:tab w:val="left" w:pos="851"/>
        </w:tabs>
        <w:spacing w:line="276" w:lineRule="auto"/>
        <w:contextualSpacing/>
        <w:jc w:val="both"/>
        <w:rPr>
          <w:rFonts w:ascii="Garamond" w:hAnsi="Garamond"/>
        </w:rPr>
      </w:pPr>
    </w:p>
    <w:p w14:paraId="32C43B14" w14:textId="77777777" w:rsidR="00C33620" w:rsidRPr="00C33620" w:rsidRDefault="00C33620" w:rsidP="00C33620">
      <w:pPr>
        <w:tabs>
          <w:tab w:val="left" w:pos="851"/>
        </w:tabs>
        <w:spacing w:line="276" w:lineRule="auto"/>
        <w:contextualSpacing/>
        <w:jc w:val="both"/>
        <w:rPr>
          <w:rFonts w:ascii="Garamond" w:hAnsi="Garamond"/>
        </w:rPr>
      </w:pPr>
      <w:r w:rsidRPr="00C33620">
        <w:rPr>
          <w:rFonts w:ascii="Garamond" w:hAnsi="Garamond"/>
        </w:rPr>
        <w:t>Considérant, que le principe d'égalité, dont l'application revêt à cet égard valeur constitutionnelle, constitue un principe général du droit communautaire ; qu'il ressort de l'état actuel de la jurisprudence de la Cour de justice des Communautés européennes que la méconnaissance de ce principe peut notamment résulter de ce que des situations comparables sont traitées de manière différente, à moins qu'une telle différence de traitement soit objectivement justifiée ; que la portée du principe général du droit communautaire garantit, au regard du moyen invoqué, l'effectivité du respect du principe constitutionnel en cause ; qu'il y a lieu, dès lors, pour le Conseil d'Etat, de rechercher si la directive du 13 octobre 2003, en tant qu'elle inclut dans son champ d'application les entreprises du secteur sidérurgique, ne contrevient pas à cet égard au principe général du droit communautaire qui s'impose à elle ;</w:t>
      </w:r>
    </w:p>
    <w:p w14:paraId="2D1B4E53" w14:textId="77777777" w:rsidR="00C33620" w:rsidRPr="00C33620" w:rsidRDefault="00C33620" w:rsidP="00C33620">
      <w:pPr>
        <w:tabs>
          <w:tab w:val="left" w:pos="851"/>
        </w:tabs>
        <w:spacing w:line="276" w:lineRule="auto"/>
        <w:contextualSpacing/>
        <w:jc w:val="both"/>
        <w:rPr>
          <w:rFonts w:ascii="Garamond" w:hAnsi="Garamond"/>
        </w:rPr>
      </w:pPr>
    </w:p>
    <w:p w14:paraId="24C73468" w14:textId="0E1AB999" w:rsidR="00C33620" w:rsidRDefault="00C33620" w:rsidP="00C33620">
      <w:pPr>
        <w:tabs>
          <w:tab w:val="left" w:pos="851"/>
        </w:tabs>
        <w:spacing w:line="276" w:lineRule="auto"/>
        <w:contextualSpacing/>
        <w:jc w:val="both"/>
        <w:rPr>
          <w:rFonts w:ascii="Garamond" w:hAnsi="Garamond"/>
        </w:rPr>
      </w:pPr>
      <w:r w:rsidRPr="00C33620">
        <w:rPr>
          <w:rFonts w:ascii="Garamond" w:hAnsi="Garamond"/>
        </w:rPr>
        <w:t xml:space="preserve">Considérant, qu'il ressort des pièces du dossier que les industries du plastique et de l'aluminium émettent des gaz à effet de serre identiques à ceux dont la directive du 13 octobre 2003 a entendu limiter l'émission ; que ces industries produisent des matériaux qui sont partiellement substituables à ceux produits par l'industrie sidérurgique et se trouvent donc placées en situation de concurrence avec celle-ci ; qu'elles ne sont cependant pas couvertes, en tant que telles, par le système d'échange de quotas de gaz à effet de serre, et ne lui sont indirectement soumises qu'en tant qu'elles comportent des installations de combustion d'une puissance calorifique supérieure à </w:t>
      </w:r>
      <w:r w:rsidRPr="00C33620">
        <w:rPr>
          <w:rFonts w:ascii="Garamond" w:hAnsi="Garamond"/>
        </w:rPr>
        <w:lastRenderedPageBreak/>
        <w:t>20 mégawatts ; que si la décision de ne pas inclure immédiatement, en tant que telles, les industries du plastique et de l'aluminium dans le système a été prise en considération de leur part relative dans les émissions totales de gaz à effet de serre et de la nécessité d'assurer la mise en place progressive d'un dispositif d'ensemble, la question de savoir si la différence de traitement instituée par la directive est objectivement justifiée soulève une difficulté sérieuse ; que, par suite, il y a lieu pour le Conseil d'Etat de surseoir à statuer sur les conclusions de la requête dirigées contre le refus d'abroger l'article 1er du décret contesté jusqu'à ce que la Cour de justice des Communautés européennes se soit prononcée sur la question préjudicielle de la validité de la directive du 13 octobre 2003 au regard du principe d'égalité en tant qu'elle rend applicable le système d'échange de quotas d'émission de gaz à effet de serre aux installations du secteur sidérurgique, sans y inclure les industries de l'aluminium et du plastique ;</w:t>
      </w:r>
    </w:p>
    <w:p w14:paraId="324ECD84" w14:textId="142F1DDE" w:rsidR="00C33620" w:rsidRDefault="00C33620" w:rsidP="00C33620">
      <w:pPr>
        <w:tabs>
          <w:tab w:val="left" w:pos="851"/>
        </w:tabs>
        <w:spacing w:line="276" w:lineRule="auto"/>
        <w:contextualSpacing/>
        <w:jc w:val="both"/>
        <w:rPr>
          <w:rFonts w:ascii="Garamond" w:hAnsi="Garamond"/>
        </w:rPr>
      </w:pPr>
    </w:p>
    <w:p w14:paraId="6E998A1D" w14:textId="3B86399E" w:rsidR="00C33620" w:rsidRPr="00C33620" w:rsidRDefault="00C33620" w:rsidP="00C33620">
      <w:pPr>
        <w:tabs>
          <w:tab w:val="left" w:pos="851"/>
        </w:tabs>
        <w:spacing w:line="276" w:lineRule="auto"/>
        <w:contextualSpacing/>
        <w:jc w:val="both"/>
        <w:rPr>
          <w:rFonts w:ascii="Garamond" w:hAnsi="Garamond"/>
        </w:rPr>
      </w:pPr>
      <w:r>
        <w:rPr>
          <w:rFonts w:ascii="Garamond" w:hAnsi="Garamond"/>
        </w:rPr>
        <w:t>[…]</w:t>
      </w:r>
    </w:p>
    <w:p w14:paraId="69D3228A" w14:textId="63E0E8D3" w:rsidR="00C33620" w:rsidRDefault="00C33620" w:rsidP="00C33620">
      <w:pPr>
        <w:tabs>
          <w:tab w:val="left" w:pos="851"/>
        </w:tabs>
        <w:spacing w:line="276" w:lineRule="auto"/>
        <w:contextualSpacing/>
        <w:jc w:val="both"/>
        <w:rPr>
          <w:rFonts w:ascii="Garamond" w:hAnsi="Garamond"/>
          <w:b/>
          <w:bCs/>
        </w:rPr>
      </w:pPr>
    </w:p>
    <w:p w14:paraId="2E9B5A26" w14:textId="77777777" w:rsidR="00C33620" w:rsidRDefault="00C33620" w:rsidP="00C33620">
      <w:pPr>
        <w:tabs>
          <w:tab w:val="left" w:pos="851"/>
        </w:tabs>
        <w:spacing w:line="276" w:lineRule="auto"/>
        <w:contextualSpacing/>
        <w:jc w:val="both"/>
        <w:rPr>
          <w:rFonts w:ascii="Garamond" w:hAnsi="Garamond"/>
          <w:b/>
          <w:bCs/>
        </w:rPr>
      </w:pPr>
    </w:p>
    <w:p w14:paraId="46C89251" w14:textId="77777777" w:rsidR="00C33620" w:rsidRDefault="00C33620" w:rsidP="00C33620">
      <w:pPr>
        <w:tabs>
          <w:tab w:val="left" w:pos="851"/>
        </w:tabs>
        <w:spacing w:line="276" w:lineRule="auto"/>
        <w:contextualSpacing/>
        <w:jc w:val="both"/>
        <w:rPr>
          <w:rFonts w:ascii="Garamond" w:hAnsi="Garamond"/>
        </w:rPr>
      </w:pPr>
    </w:p>
    <w:p w14:paraId="17A1FA15" w14:textId="62F784DE" w:rsidR="00C33620" w:rsidRDefault="00C33620" w:rsidP="00C33620">
      <w:pPr>
        <w:tabs>
          <w:tab w:val="left" w:pos="851"/>
        </w:tabs>
        <w:spacing w:line="276" w:lineRule="auto"/>
        <w:contextualSpacing/>
        <w:jc w:val="both"/>
        <w:rPr>
          <w:rFonts w:ascii="Garamond" w:hAnsi="Garamond"/>
        </w:rPr>
      </w:pPr>
      <w:r w:rsidRPr="009A2754">
        <w:rPr>
          <w:rFonts w:ascii="Garamond" w:hAnsi="Garamond"/>
          <w:b/>
          <w:bCs/>
        </w:rPr>
        <w:t xml:space="preserve">DOCUMENT </w:t>
      </w:r>
      <w:r w:rsidR="007B6C9F">
        <w:rPr>
          <w:rFonts w:ascii="Garamond" w:hAnsi="Garamond"/>
          <w:b/>
          <w:bCs/>
        </w:rPr>
        <w:t>5</w:t>
      </w:r>
      <w:r>
        <w:rPr>
          <w:rFonts w:ascii="Garamond" w:hAnsi="Garamond"/>
        </w:rPr>
        <w:t xml:space="preserve"> : </w:t>
      </w:r>
      <w:r w:rsidRPr="002D09F1">
        <w:rPr>
          <w:rFonts w:ascii="Garamond" w:hAnsi="Garamond"/>
        </w:rPr>
        <w:t>C</w:t>
      </w:r>
      <w:r>
        <w:rPr>
          <w:rFonts w:ascii="Garamond" w:hAnsi="Garamond"/>
        </w:rPr>
        <w:t>onseil constitutionnel,</w:t>
      </w:r>
      <w:r w:rsidRPr="002D09F1">
        <w:rPr>
          <w:rFonts w:ascii="Garamond" w:hAnsi="Garamond"/>
        </w:rPr>
        <w:t xml:space="preserve"> </w:t>
      </w:r>
      <w:r w:rsidR="00EE59ED">
        <w:rPr>
          <w:rFonts w:ascii="Garamond" w:hAnsi="Garamond"/>
        </w:rPr>
        <w:t xml:space="preserve">Décision QPC du </w:t>
      </w:r>
      <w:r>
        <w:rPr>
          <w:rFonts w:ascii="Garamond" w:hAnsi="Garamond"/>
        </w:rPr>
        <w:t xml:space="preserve">15 octobre </w:t>
      </w:r>
      <w:r w:rsidRPr="002D09F1">
        <w:rPr>
          <w:rFonts w:ascii="Garamond" w:hAnsi="Garamond"/>
        </w:rPr>
        <w:t xml:space="preserve">2021, </w:t>
      </w:r>
      <w:r w:rsidRPr="002D09F1">
        <w:rPr>
          <w:rFonts w:ascii="Garamond" w:hAnsi="Garamond"/>
          <w:i/>
          <w:iCs/>
        </w:rPr>
        <w:t>Sté Air France</w:t>
      </w:r>
      <w:r>
        <w:rPr>
          <w:rFonts w:ascii="Garamond" w:hAnsi="Garamond"/>
        </w:rPr>
        <w:t>.</w:t>
      </w:r>
    </w:p>
    <w:p w14:paraId="3C03A423" w14:textId="41BFE029" w:rsidR="00C33620" w:rsidRDefault="00C33620" w:rsidP="00C33620">
      <w:pPr>
        <w:tabs>
          <w:tab w:val="left" w:pos="851"/>
        </w:tabs>
        <w:spacing w:line="276" w:lineRule="auto"/>
        <w:contextualSpacing/>
        <w:jc w:val="both"/>
        <w:rPr>
          <w:rFonts w:ascii="Garamond" w:hAnsi="Garamond"/>
        </w:rPr>
      </w:pPr>
    </w:p>
    <w:p w14:paraId="076D4472"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7907628D" w14:textId="2B5CBD60" w:rsidR="00F57C6E" w:rsidRDefault="00F57C6E" w:rsidP="00C33620">
      <w:pPr>
        <w:tabs>
          <w:tab w:val="left" w:pos="851"/>
        </w:tabs>
        <w:spacing w:line="276" w:lineRule="auto"/>
        <w:contextualSpacing/>
        <w:jc w:val="both"/>
        <w:rPr>
          <w:rFonts w:ascii="Garamond" w:hAnsi="Garamond"/>
        </w:rPr>
      </w:pPr>
    </w:p>
    <w:p w14:paraId="2B43E961" w14:textId="0DB1CF40"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 La question prioritaire de constitutionnalité doit être considérée comme portant sur les dispositions applicables au litige à l'occasion duquel elle a été posée. Dès lors, le Conseil constitutionnel est saisi de l'article L. 213-4 du code de l'entrée et du séjour des étrangers et du droit d'asile dans sa rédaction résultant de l'ordonnance du 24 novembre 2004 mentionnée ci-dessus et du 1 ° de l'article L. 625-7 du même code dans sa rédaction résultant de la loi du 7 mars 2016 mentionnée ci-dessus.</w:t>
      </w:r>
    </w:p>
    <w:p w14:paraId="79688763" w14:textId="77777777" w:rsidR="00F57C6E" w:rsidRPr="00F57C6E" w:rsidRDefault="00F57C6E" w:rsidP="00F57C6E">
      <w:pPr>
        <w:tabs>
          <w:tab w:val="left" w:pos="851"/>
        </w:tabs>
        <w:spacing w:line="276" w:lineRule="auto"/>
        <w:contextualSpacing/>
        <w:jc w:val="both"/>
        <w:rPr>
          <w:rFonts w:ascii="Garamond" w:hAnsi="Garamond"/>
        </w:rPr>
      </w:pPr>
    </w:p>
    <w:p w14:paraId="675CFDF6" w14:textId="3A1EE98F" w:rsidR="00F57C6E" w:rsidRDefault="00F57C6E" w:rsidP="00F57C6E">
      <w:pPr>
        <w:tabs>
          <w:tab w:val="left" w:pos="851"/>
        </w:tabs>
        <w:spacing w:line="276" w:lineRule="auto"/>
        <w:contextualSpacing/>
        <w:jc w:val="both"/>
        <w:rPr>
          <w:rFonts w:ascii="Garamond" w:hAnsi="Garamond"/>
        </w:rPr>
      </w:pPr>
      <w:r w:rsidRPr="00F57C6E">
        <w:rPr>
          <w:rFonts w:ascii="Garamond" w:hAnsi="Garamond"/>
        </w:rPr>
        <w:t>2. L'article L. 213-4 du code de l'entrée et du séjour des étrangers et du droit d'asile, dans cette rédaction, prévoit : « Lorsque l'entrée en France est refusée à un étranger non ressortissant d'un État membre de l'Union européenne, l'entreprise de transport aérien ou maritime qui l'a acheminé est tenue de ramener sans délai, à la requête des autorités chargées du contrôle des personnes à la frontière, cet étranger au point où il a commencé à utiliser le moyen de transport de cette entreprise, ou, en cas d'impossibilité, dans l'État qui a délivré le document de voyage avec lequel il a voyagé ou en tout autre lieu où il peut être admis ».</w:t>
      </w:r>
    </w:p>
    <w:p w14:paraId="4EF2F1E2" w14:textId="77777777" w:rsidR="00F57C6E" w:rsidRPr="00F57C6E" w:rsidRDefault="00F57C6E" w:rsidP="00F57C6E">
      <w:pPr>
        <w:tabs>
          <w:tab w:val="left" w:pos="851"/>
        </w:tabs>
        <w:spacing w:line="276" w:lineRule="auto"/>
        <w:contextualSpacing/>
        <w:jc w:val="both"/>
        <w:rPr>
          <w:rFonts w:ascii="Garamond" w:hAnsi="Garamond"/>
        </w:rPr>
      </w:pPr>
    </w:p>
    <w:p w14:paraId="7587AA65" w14:textId="59364A42" w:rsidR="00F57C6E" w:rsidRDefault="00F57C6E" w:rsidP="00F57C6E">
      <w:pPr>
        <w:tabs>
          <w:tab w:val="left" w:pos="851"/>
        </w:tabs>
        <w:spacing w:line="276" w:lineRule="auto"/>
        <w:contextualSpacing/>
        <w:jc w:val="both"/>
        <w:rPr>
          <w:rFonts w:ascii="Garamond" w:hAnsi="Garamond"/>
        </w:rPr>
      </w:pPr>
      <w:r w:rsidRPr="00F57C6E">
        <w:rPr>
          <w:rFonts w:ascii="Garamond" w:hAnsi="Garamond"/>
        </w:rPr>
        <w:t>3. Le 1 ° de l'article L. 625-7 du même code, dans cette rédaction, prévoit qu'est punie d'une amende d'un montant maximal de 30 000 euros : « L'entreprise de transport aérien ou maritime qui ne respecte pas les obligations fixées aux articles L. 213-4 à L. 213-6 ».</w:t>
      </w:r>
    </w:p>
    <w:p w14:paraId="12CBBA0B" w14:textId="77777777" w:rsidR="00F57C6E" w:rsidRPr="00F57C6E" w:rsidRDefault="00F57C6E" w:rsidP="00F57C6E">
      <w:pPr>
        <w:tabs>
          <w:tab w:val="left" w:pos="851"/>
        </w:tabs>
        <w:spacing w:line="276" w:lineRule="auto"/>
        <w:contextualSpacing/>
        <w:jc w:val="both"/>
        <w:rPr>
          <w:rFonts w:ascii="Garamond" w:hAnsi="Garamond"/>
        </w:rPr>
      </w:pPr>
    </w:p>
    <w:p w14:paraId="70A0D156" w14:textId="2CACF956" w:rsidR="00F57C6E" w:rsidRDefault="00F57C6E" w:rsidP="00F57C6E">
      <w:pPr>
        <w:tabs>
          <w:tab w:val="left" w:pos="851"/>
        </w:tabs>
        <w:spacing w:line="276" w:lineRule="auto"/>
        <w:contextualSpacing/>
        <w:jc w:val="both"/>
        <w:rPr>
          <w:rFonts w:ascii="Garamond" w:hAnsi="Garamond"/>
        </w:rPr>
      </w:pPr>
      <w:r w:rsidRPr="00F57C6E">
        <w:rPr>
          <w:rFonts w:ascii="Garamond" w:hAnsi="Garamond"/>
        </w:rPr>
        <w:t xml:space="preserve">4. La société requérante reproche à ces dispositions d'obliger les entreprises de transport aérien à réacheminer les personnes étrangères auxquelles l'accès au territoire national a été refusé, le cas échéant en exerçant des contraintes sur celles dont le comportement présente un risque pour la sécurité à bord de l'aéronef. Ces dispositions auraient ainsi pour effet de déléguer à une personne privée des compétences de police administrative générale inhérentes à l'exercice de la force publique, en violation de l'article 12 de la Déclaration des droits de l'homme et du citoyen de 1789. La société requérante reproche également à ces dispositions d'obliger ces entreprises à </w:t>
      </w:r>
      <w:r w:rsidRPr="00F57C6E">
        <w:rPr>
          <w:rFonts w:ascii="Garamond" w:hAnsi="Garamond"/>
        </w:rPr>
        <w:lastRenderedPageBreak/>
        <w:t>détenir contre leur gré, au cours de ce réacheminement, les personnes qui refuseraient de se soumettre à cette mesure, en méconnaissance de l'article 66 de la Constitution. En outre, ces dispositions permettraient d'engager la responsabilité des entreprises de transport quand bien même l'inexécution de cette obligation ne serait imputable qu'au comportement du passager. Elles méconnaîtraient ainsi l'article 9 de la Déclaration de 1789.</w:t>
      </w:r>
    </w:p>
    <w:p w14:paraId="02E61AB5" w14:textId="77777777" w:rsidR="00F57C6E" w:rsidRPr="00F57C6E" w:rsidRDefault="00F57C6E" w:rsidP="00F57C6E">
      <w:pPr>
        <w:tabs>
          <w:tab w:val="left" w:pos="851"/>
        </w:tabs>
        <w:spacing w:line="276" w:lineRule="auto"/>
        <w:contextualSpacing/>
        <w:jc w:val="both"/>
        <w:rPr>
          <w:rFonts w:ascii="Garamond" w:hAnsi="Garamond"/>
        </w:rPr>
      </w:pPr>
    </w:p>
    <w:p w14:paraId="648BB8C4" w14:textId="509B49A6" w:rsidR="00F57C6E" w:rsidRDefault="00F57C6E" w:rsidP="00F57C6E">
      <w:pPr>
        <w:tabs>
          <w:tab w:val="left" w:pos="851"/>
        </w:tabs>
        <w:spacing w:line="276" w:lineRule="auto"/>
        <w:contextualSpacing/>
        <w:jc w:val="both"/>
        <w:rPr>
          <w:rFonts w:ascii="Garamond" w:hAnsi="Garamond"/>
        </w:rPr>
      </w:pPr>
      <w:r w:rsidRPr="00F57C6E">
        <w:rPr>
          <w:rFonts w:ascii="Garamond" w:hAnsi="Garamond"/>
        </w:rPr>
        <w:t>5. La société requérante soutient, par ailleurs, que ces dispositions, en imposant aux entreprises de transport de prendre en charge l'ensemble des coûts liés à l'obligation de réacheminement, les soumettraient à des sujétions excessives. Ce faisant, elles méconnaitraient l'article 13 de la Déclaration de 1789.</w:t>
      </w:r>
    </w:p>
    <w:p w14:paraId="7065527A" w14:textId="77777777" w:rsidR="00F57C6E" w:rsidRPr="00F57C6E" w:rsidRDefault="00F57C6E" w:rsidP="00F57C6E">
      <w:pPr>
        <w:tabs>
          <w:tab w:val="left" w:pos="851"/>
        </w:tabs>
        <w:spacing w:line="276" w:lineRule="auto"/>
        <w:contextualSpacing/>
        <w:jc w:val="both"/>
        <w:rPr>
          <w:rFonts w:ascii="Garamond" w:hAnsi="Garamond"/>
        </w:rPr>
      </w:pPr>
    </w:p>
    <w:p w14:paraId="5F3C2007" w14:textId="7A19F5BF" w:rsidR="00F57C6E" w:rsidRDefault="00F57C6E" w:rsidP="00F57C6E">
      <w:pPr>
        <w:tabs>
          <w:tab w:val="left" w:pos="851"/>
        </w:tabs>
        <w:spacing w:line="276" w:lineRule="auto"/>
        <w:contextualSpacing/>
        <w:jc w:val="both"/>
        <w:rPr>
          <w:rFonts w:ascii="Garamond" w:hAnsi="Garamond"/>
        </w:rPr>
      </w:pPr>
      <w:r w:rsidRPr="00F57C6E">
        <w:rPr>
          <w:rFonts w:ascii="Garamond" w:hAnsi="Garamond"/>
        </w:rPr>
        <w:t>6. Enfin, ces dispositions, en ne prévoyant aucune exception à cette obligation de réacheminement, seraient entachées d'incompétence négative.</w:t>
      </w:r>
    </w:p>
    <w:p w14:paraId="50F5A216" w14:textId="77777777" w:rsidR="00F57C6E" w:rsidRPr="00F57C6E" w:rsidRDefault="00F57C6E" w:rsidP="00F57C6E">
      <w:pPr>
        <w:tabs>
          <w:tab w:val="left" w:pos="851"/>
        </w:tabs>
        <w:spacing w:line="276" w:lineRule="auto"/>
        <w:contextualSpacing/>
        <w:jc w:val="both"/>
        <w:rPr>
          <w:rFonts w:ascii="Garamond" w:hAnsi="Garamond"/>
        </w:rPr>
      </w:pPr>
    </w:p>
    <w:p w14:paraId="20A58ACE" w14:textId="7A581003" w:rsidR="00F57C6E" w:rsidRDefault="00F57C6E" w:rsidP="00F57C6E">
      <w:pPr>
        <w:tabs>
          <w:tab w:val="left" w:pos="851"/>
        </w:tabs>
        <w:spacing w:line="276" w:lineRule="auto"/>
        <w:contextualSpacing/>
        <w:jc w:val="both"/>
        <w:rPr>
          <w:rFonts w:ascii="Garamond" w:hAnsi="Garamond"/>
        </w:rPr>
      </w:pPr>
      <w:r w:rsidRPr="00F57C6E">
        <w:rPr>
          <w:rFonts w:ascii="Garamond" w:hAnsi="Garamond"/>
        </w:rPr>
        <w:t>7. Ces griefs sont ainsi dirigés contre l'obligation de réacheminement mise à la charge des transporteurs aériens. Par conséquent, la question prioritaire de constitutionnalité porte sur les mots « est tenue de ramener » figurant à l'article L. 213-4 du code de l'entrée et du séjour des étrangers et du droit d'asile. […]</w:t>
      </w:r>
    </w:p>
    <w:p w14:paraId="1F6B441E" w14:textId="77777777" w:rsidR="00F57C6E" w:rsidRPr="00F57C6E" w:rsidRDefault="00F57C6E" w:rsidP="00F57C6E">
      <w:pPr>
        <w:tabs>
          <w:tab w:val="left" w:pos="851"/>
        </w:tabs>
        <w:spacing w:line="276" w:lineRule="auto"/>
        <w:contextualSpacing/>
        <w:jc w:val="both"/>
        <w:rPr>
          <w:rFonts w:ascii="Garamond" w:hAnsi="Garamond"/>
        </w:rPr>
      </w:pPr>
    </w:p>
    <w:p w14:paraId="09CAC7A6" w14:textId="712104A4" w:rsidR="00F57C6E" w:rsidRDefault="00F57C6E" w:rsidP="00F57C6E">
      <w:pPr>
        <w:tabs>
          <w:tab w:val="left" w:pos="851"/>
        </w:tabs>
        <w:spacing w:line="276" w:lineRule="auto"/>
        <w:contextualSpacing/>
        <w:jc w:val="both"/>
        <w:rPr>
          <w:rFonts w:ascii="Garamond" w:hAnsi="Garamond"/>
        </w:rPr>
      </w:pPr>
      <w:r w:rsidRPr="00F57C6E">
        <w:rPr>
          <w:rFonts w:ascii="Garamond" w:hAnsi="Garamond"/>
        </w:rPr>
        <w:t>- Sur le contrôle exercé par le Conseil constitutionnel :</w:t>
      </w:r>
    </w:p>
    <w:p w14:paraId="1ABC0E4D" w14:textId="77777777" w:rsidR="00F57C6E" w:rsidRPr="00F57C6E" w:rsidRDefault="00F57C6E" w:rsidP="00F57C6E">
      <w:pPr>
        <w:tabs>
          <w:tab w:val="left" w:pos="851"/>
        </w:tabs>
        <w:spacing w:line="276" w:lineRule="auto"/>
        <w:contextualSpacing/>
        <w:jc w:val="both"/>
        <w:rPr>
          <w:rFonts w:ascii="Garamond" w:hAnsi="Garamond"/>
        </w:rPr>
      </w:pPr>
    </w:p>
    <w:p w14:paraId="4359D15E" w14:textId="3B7D6A3A" w:rsidR="00F57C6E" w:rsidRDefault="00F57C6E" w:rsidP="00F57C6E">
      <w:pPr>
        <w:tabs>
          <w:tab w:val="left" w:pos="851"/>
        </w:tabs>
        <w:spacing w:line="276" w:lineRule="auto"/>
        <w:contextualSpacing/>
        <w:jc w:val="both"/>
        <w:rPr>
          <w:rFonts w:ascii="Garamond" w:hAnsi="Garamond"/>
        </w:rPr>
      </w:pPr>
      <w:r w:rsidRPr="00F57C6E">
        <w:rPr>
          <w:rFonts w:ascii="Garamond" w:hAnsi="Garamond"/>
        </w:rPr>
        <w:t>9. Aux termes de l'article 88-1 de la Constitution : « La République participe à l'Union européenne constituée d'États qui ont choisi librement d'exercer en commun certaines de leurs compétences en vertu du traité sur l'Union européenne et du traité sur le fonctionnement de l'Union européenne, tels qu'ils résultent du traité signé à Lisbonne le 13 décembre 2007 ». La transposition d'une directive ou l'adaptation du droit interne à un règlement ne sauraient aller à l'encontre d'une règle ou d'un principe inhérent à l'identité constitutionnelle de la France, sauf à ce que le constituant y ait consenti. En l'absence de mise en cause d'une telle règle ou d'un tel principe, le Conseil constitutionnel n'est pas compétent pour contrôler la conformité à la Constitution de dispositions législatives qui se bornent à tirer les conséquences nécessaires de dispositions inconditionnelles et précises d'une directive ou des dispositions d'un règlement de l'Union européenne. Dans cette hypothèse, il n'appartient qu'au juge de l'Union européenne, saisi le cas échéant à titre préjudiciel, de contrôler le respect par cette directive ou ce règlement des droits fondamentaux garantis par l'article 6 du traité sur l'Union européenne.</w:t>
      </w:r>
    </w:p>
    <w:p w14:paraId="55610D22" w14:textId="77777777" w:rsidR="00F57C6E" w:rsidRPr="00F57C6E" w:rsidRDefault="00F57C6E" w:rsidP="00F57C6E">
      <w:pPr>
        <w:tabs>
          <w:tab w:val="left" w:pos="851"/>
        </w:tabs>
        <w:spacing w:line="276" w:lineRule="auto"/>
        <w:contextualSpacing/>
        <w:jc w:val="both"/>
        <w:rPr>
          <w:rFonts w:ascii="Garamond" w:hAnsi="Garamond"/>
        </w:rPr>
      </w:pPr>
    </w:p>
    <w:p w14:paraId="67C1E77A" w14:textId="0741B7EF"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10. En application de l'article 26 de la convention d'application de l'accord de Schengen signée le 19 juin 1990, les États signataires se sont engagés à instaurer l'obligation pour les entreprises de transport de « reprendre en charge sans délai » les personnes étrangères dont l'entrée sur le territoire de ces États a été refusée et de les ramener vers un État tiers. Cette obligation a été reprise et précisée par la directive du 28 juin 2001.</w:t>
      </w:r>
    </w:p>
    <w:p w14:paraId="7F39F27C" w14:textId="77777777" w:rsidR="00F57C6E" w:rsidRPr="00F57C6E" w:rsidRDefault="00F57C6E" w:rsidP="00F57C6E">
      <w:pPr>
        <w:tabs>
          <w:tab w:val="left" w:pos="851"/>
        </w:tabs>
        <w:spacing w:line="276" w:lineRule="auto"/>
        <w:contextualSpacing/>
        <w:jc w:val="both"/>
        <w:rPr>
          <w:rFonts w:ascii="Garamond" w:hAnsi="Garamond"/>
        </w:rPr>
      </w:pPr>
    </w:p>
    <w:p w14:paraId="14DA157B" w14:textId="6D1874C2"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11. Les dispositions contestées de l'article L. 213-4 du code de l'entrée et du séjour des étrangers et du droit d'asile visent à assurer la transposition de cette directive en prévoyant que l'entreprise de transport aérien ou maritime est tenue de ramener une personne étrangère non ressortissante d'un État membre de l'Union européenne en cas de refus d'entrée sur le territoire national.</w:t>
      </w:r>
    </w:p>
    <w:p w14:paraId="5E441E1A" w14:textId="77777777" w:rsidR="00F57C6E" w:rsidRPr="00F57C6E" w:rsidRDefault="00F57C6E" w:rsidP="00F57C6E">
      <w:pPr>
        <w:tabs>
          <w:tab w:val="left" w:pos="851"/>
        </w:tabs>
        <w:spacing w:line="276" w:lineRule="auto"/>
        <w:contextualSpacing/>
        <w:jc w:val="both"/>
        <w:rPr>
          <w:rFonts w:ascii="Garamond" w:hAnsi="Garamond"/>
        </w:rPr>
      </w:pPr>
    </w:p>
    <w:p w14:paraId="0D76C137" w14:textId="77777777" w:rsidR="00F57C6E" w:rsidRPr="00F57C6E" w:rsidRDefault="00F57C6E" w:rsidP="00F57C6E">
      <w:pPr>
        <w:tabs>
          <w:tab w:val="left" w:pos="851"/>
        </w:tabs>
        <w:spacing w:line="276" w:lineRule="auto"/>
        <w:contextualSpacing/>
        <w:jc w:val="both"/>
        <w:rPr>
          <w:rFonts w:ascii="Garamond" w:hAnsi="Garamond"/>
        </w:rPr>
      </w:pPr>
      <w:r w:rsidRPr="00F57C6E">
        <w:rPr>
          <w:rFonts w:ascii="Garamond" w:hAnsi="Garamond"/>
        </w:rPr>
        <w:lastRenderedPageBreak/>
        <w:t>12. Ces dispositions se bornent ainsi à tirer les conséquences nécessaires de dispositions inconditionnelles et précises de la directive du 28 juin 2001.</w:t>
      </w:r>
    </w:p>
    <w:p w14:paraId="1FDF10EE" w14:textId="7643AD60"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13. Par conséquent, le Conseil constitutionnel n'est compétent pour contrôler la conformité des dispositions contestées aux droits et libertés que la Constitution garantit que dans la mesure où elles mettent en cause une règle ou un principe qui, ne trouvant pas de protection équivalente dans le droit de l'Union européenne, est inhérent à l'identité constitutionnelle de la France.</w:t>
      </w:r>
    </w:p>
    <w:p w14:paraId="1D5F253A" w14:textId="77777777" w:rsidR="00F57C6E" w:rsidRPr="00F57C6E" w:rsidRDefault="00F57C6E" w:rsidP="00F57C6E">
      <w:pPr>
        <w:tabs>
          <w:tab w:val="left" w:pos="851"/>
        </w:tabs>
        <w:spacing w:line="276" w:lineRule="auto"/>
        <w:contextualSpacing/>
        <w:jc w:val="both"/>
        <w:rPr>
          <w:rFonts w:ascii="Garamond" w:hAnsi="Garamond"/>
        </w:rPr>
      </w:pPr>
    </w:p>
    <w:p w14:paraId="4B994BE8" w14:textId="6623E488" w:rsidR="00F57C6E" w:rsidRDefault="00F57C6E" w:rsidP="00F57C6E">
      <w:pPr>
        <w:tabs>
          <w:tab w:val="left" w:pos="851"/>
        </w:tabs>
        <w:spacing w:line="276" w:lineRule="auto"/>
        <w:contextualSpacing/>
        <w:jc w:val="both"/>
        <w:rPr>
          <w:rFonts w:ascii="Garamond" w:hAnsi="Garamond"/>
        </w:rPr>
      </w:pPr>
      <w:r w:rsidRPr="00F57C6E">
        <w:rPr>
          <w:rFonts w:ascii="Garamond" w:hAnsi="Garamond"/>
        </w:rPr>
        <w:t>- Sur le fond :</w:t>
      </w:r>
    </w:p>
    <w:p w14:paraId="0A0313AB" w14:textId="77777777" w:rsidR="00F57C6E" w:rsidRPr="00F57C6E" w:rsidRDefault="00F57C6E" w:rsidP="00F57C6E">
      <w:pPr>
        <w:tabs>
          <w:tab w:val="left" w:pos="851"/>
        </w:tabs>
        <w:spacing w:line="276" w:lineRule="auto"/>
        <w:contextualSpacing/>
        <w:jc w:val="both"/>
        <w:rPr>
          <w:rFonts w:ascii="Garamond" w:hAnsi="Garamond"/>
        </w:rPr>
      </w:pPr>
    </w:p>
    <w:p w14:paraId="5301EE21" w14:textId="33164DEE"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14. En premier lieu, le droit à la sûreté, le principe de responsabilité personnelle et l'égalité devant les charges publiques, qui sont protégés par le droit de l'Union européenne, ne constituent pas des règles ou principes inhérents à l'identité constitutionnelle de la France. Il n'appartient donc pas au Conseil constitutionnel de se prononcer sur ces griefs.</w:t>
      </w:r>
    </w:p>
    <w:p w14:paraId="79B86FE2" w14:textId="77777777" w:rsidR="00F57C6E" w:rsidRPr="00F57C6E" w:rsidRDefault="00F57C6E" w:rsidP="00F57C6E">
      <w:pPr>
        <w:tabs>
          <w:tab w:val="left" w:pos="851"/>
        </w:tabs>
        <w:spacing w:line="276" w:lineRule="auto"/>
        <w:contextualSpacing/>
        <w:jc w:val="both"/>
        <w:rPr>
          <w:rFonts w:ascii="Garamond" w:hAnsi="Garamond"/>
        </w:rPr>
      </w:pPr>
    </w:p>
    <w:p w14:paraId="0C194295" w14:textId="33A93BCB"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15. En second lieu, selon l'article 12 de la Déclaration de 1789 : « La garantie des droits de l'Homme et du Citoyen nécessite une force publique : cette force est donc instituée pour l'avantage de tous, et non pour l'utilité particulière de ceux auxquels elle est confiée ». Il en résulte l'interdiction de déléguer à des personnes privées des compétences de police administrative générale inhérentes à l'exercice de la « force publique » nécessaire à la garantie des droits. Cette exigence constitue un principe inhérent à l'identité constitutionnelle de la France.</w:t>
      </w:r>
    </w:p>
    <w:p w14:paraId="7E67BCF9" w14:textId="77777777" w:rsidR="00F57C6E" w:rsidRPr="00F57C6E" w:rsidRDefault="00F57C6E" w:rsidP="00F57C6E">
      <w:pPr>
        <w:tabs>
          <w:tab w:val="left" w:pos="851"/>
        </w:tabs>
        <w:spacing w:line="276" w:lineRule="auto"/>
        <w:contextualSpacing/>
        <w:jc w:val="both"/>
        <w:rPr>
          <w:rFonts w:ascii="Garamond" w:hAnsi="Garamond"/>
        </w:rPr>
      </w:pPr>
    </w:p>
    <w:p w14:paraId="401BF265" w14:textId="6CC9A1AD"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16. La décision de mettre en œuvre le réacheminement d'une personne non admise sur le territoire français relève de la compétence exclusive des autorités chargées du contrôle des personnes à la frontière. En application des dispositions contestées, les entreprises de transport aérien ne sont tenues, à la requête de ces autorités, que de prendre en charge ces personnes et d'assurer leur transport.</w:t>
      </w:r>
    </w:p>
    <w:p w14:paraId="0E4C688E" w14:textId="77777777" w:rsidR="00F57C6E" w:rsidRPr="00F57C6E" w:rsidRDefault="00F57C6E" w:rsidP="00F57C6E">
      <w:pPr>
        <w:tabs>
          <w:tab w:val="left" w:pos="851"/>
        </w:tabs>
        <w:spacing w:line="276" w:lineRule="auto"/>
        <w:contextualSpacing/>
        <w:jc w:val="both"/>
        <w:rPr>
          <w:rFonts w:ascii="Garamond" w:hAnsi="Garamond"/>
        </w:rPr>
      </w:pPr>
    </w:p>
    <w:p w14:paraId="0B2EE33D" w14:textId="2453C90F"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17. Ainsi, les dispositions contestées n'ont ni pour objet ni pour effet de mettre à la charge de ces entreprises une obligation de surveiller la personne devant être réacheminée ou d'exercer sur elle une contrainte, de telles mesures relevant des seules compétences des autorités de police. Elles ne privent pas non plus le commandant de bord de sa faculté de débarquer une personne présentant un danger pour la sécurité, la santé, la salubrité ou le bon ordre de l'aéronef, en application de l'article L. 6522-3 du code des transports.</w:t>
      </w:r>
    </w:p>
    <w:p w14:paraId="3D550424" w14:textId="77777777" w:rsidR="00F57C6E" w:rsidRPr="00F57C6E" w:rsidRDefault="00F57C6E" w:rsidP="00F57C6E">
      <w:pPr>
        <w:tabs>
          <w:tab w:val="left" w:pos="851"/>
        </w:tabs>
        <w:spacing w:line="276" w:lineRule="auto"/>
        <w:contextualSpacing/>
        <w:jc w:val="both"/>
        <w:rPr>
          <w:rFonts w:ascii="Garamond" w:hAnsi="Garamond"/>
        </w:rPr>
      </w:pPr>
    </w:p>
    <w:p w14:paraId="20D046C5" w14:textId="018C9BB2"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18. Le grief tiré de la méconnaissance des exigences résultant de l'article 12 de la Déclaration de 1789 doit donc être écarté. Il en va de même du grief tiré de la méconnaissance par le législateur de l'étendue de sa compétence dans des conditions affectant ces mêmes exigences.</w:t>
      </w:r>
    </w:p>
    <w:p w14:paraId="0A3D9B23" w14:textId="77777777" w:rsidR="00F57C6E" w:rsidRPr="00F57C6E" w:rsidRDefault="00F57C6E" w:rsidP="00F57C6E">
      <w:pPr>
        <w:tabs>
          <w:tab w:val="left" w:pos="851"/>
        </w:tabs>
        <w:spacing w:line="276" w:lineRule="auto"/>
        <w:contextualSpacing/>
        <w:jc w:val="both"/>
        <w:rPr>
          <w:rFonts w:ascii="Garamond" w:hAnsi="Garamond"/>
        </w:rPr>
      </w:pPr>
    </w:p>
    <w:p w14:paraId="7137C277" w14:textId="78754C47" w:rsidR="00F57C6E" w:rsidRDefault="00F57C6E" w:rsidP="00F57C6E">
      <w:pPr>
        <w:tabs>
          <w:tab w:val="left" w:pos="851"/>
        </w:tabs>
        <w:spacing w:line="276" w:lineRule="auto"/>
        <w:contextualSpacing/>
        <w:jc w:val="both"/>
        <w:rPr>
          <w:rFonts w:ascii="Garamond" w:hAnsi="Garamond"/>
        </w:rPr>
      </w:pPr>
      <w:r w:rsidRPr="00F57C6E">
        <w:rPr>
          <w:rFonts w:ascii="Garamond" w:hAnsi="Garamond"/>
        </w:rPr>
        <w:t>19. Par conséquent, les dispositions contestées doivent être déclarées conformes à la Constitution.</w:t>
      </w:r>
    </w:p>
    <w:p w14:paraId="46FC3ED5" w14:textId="77777777" w:rsidR="00F57C6E" w:rsidRPr="00F57C6E" w:rsidRDefault="00F57C6E" w:rsidP="00F57C6E">
      <w:pPr>
        <w:tabs>
          <w:tab w:val="left" w:pos="851"/>
        </w:tabs>
        <w:spacing w:line="276" w:lineRule="auto"/>
        <w:contextualSpacing/>
        <w:jc w:val="both"/>
        <w:rPr>
          <w:rFonts w:ascii="Garamond" w:hAnsi="Garamond"/>
        </w:rPr>
      </w:pPr>
    </w:p>
    <w:p w14:paraId="5A2115B8"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2C74EB72" w14:textId="1C7949E9" w:rsidR="00F57C6E" w:rsidRDefault="00F57C6E" w:rsidP="00F57C6E">
      <w:pPr>
        <w:tabs>
          <w:tab w:val="left" w:pos="851"/>
        </w:tabs>
        <w:spacing w:line="276" w:lineRule="auto"/>
        <w:contextualSpacing/>
        <w:jc w:val="both"/>
        <w:rPr>
          <w:rFonts w:ascii="Garamond" w:hAnsi="Garamond"/>
        </w:rPr>
      </w:pPr>
    </w:p>
    <w:p w14:paraId="3EE72235" w14:textId="38EF8B81" w:rsidR="00F57C6E" w:rsidRDefault="00F57C6E" w:rsidP="00C33620">
      <w:pPr>
        <w:tabs>
          <w:tab w:val="left" w:pos="851"/>
        </w:tabs>
        <w:spacing w:line="276" w:lineRule="auto"/>
        <w:contextualSpacing/>
        <w:jc w:val="both"/>
        <w:rPr>
          <w:rFonts w:ascii="Garamond" w:hAnsi="Garamond"/>
          <w:b/>
          <w:bCs/>
        </w:rPr>
      </w:pPr>
    </w:p>
    <w:p w14:paraId="58C7A190" w14:textId="7D8DF903" w:rsidR="007B6C9F" w:rsidRDefault="007B6C9F" w:rsidP="00C33620">
      <w:pPr>
        <w:tabs>
          <w:tab w:val="left" w:pos="851"/>
        </w:tabs>
        <w:spacing w:line="276" w:lineRule="auto"/>
        <w:contextualSpacing/>
        <w:jc w:val="both"/>
        <w:rPr>
          <w:rFonts w:ascii="Garamond" w:hAnsi="Garamond"/>
          <w:b/>
          <w:bCs/>
        </w:rPr>
      </w:pPr>
    </w:p>
    <w:p w14:paraId="4A96D0EA" w14:textId="16D97F58" w:rsidR="007B6C9F" w:rsidRDefault="007B6C9F" w:rsidP="00C33620">
      <w:pPr>
        <w:tabs>
          <w:tab w:val="left" w:pos="851"/>
        </w:tabs>
        <w:spacing w:line="276" w:lineRule="auto"/>
        <w:contextualSpacing/>
        <w:jc w:val="both"/>
        <w:rPr>
          <w:rFonts w:ascii="Garamond" w:hAnsi="Garamond"/>
          <w:b/>
          <w:bCs/>
        </w:rPr>
      </w:pPr>
    </w:p>
    <w:p w14:paraId="30F720BF" w14:textId="13B007B2" w:rsidR="007B6C9F" w:rsidRDefault="007B6C9F" w:rsidP="00C33620">
      <w:pPr>
        <w:tabs>
          <w:tab w:val="left" w:pos="851"/>
        </w:tabs>
        <w:spacing w:line="276" w:lineRule="auto"/>
        <w:contextualSpacing/>
        <w:jc w:val="both"/>
        <w:rPr>
          <w:rFonts w:ascii="Garamond" w:hAnsi="Garamond"/>
          <w:b/>
          <w:bCs/>
        </w:rPr>
      </w:pPr>
    </w:p>
    <w:p w14:paraId="6323F601" w14:textId="75A162FF" w:rsidR="007B6C9F" w:rsidRDefault="007B6C9F" w:rsidP="00C33620">
      <w:pPr>
        <w:tabs>
          <w:tab w:val="left" w:pos="851"/>
        </w:tabs>
        <w:spacing w:line="276" w:lineRule="auto"/>
        <w:contextualSpacing/>
        <w:jc w:val="both"/>
        <w:rPr>
          <w:rFonts w:ascii="Garamond" w:hAnsi="Garamond"/>
          <w:b/>
          <w:bCs/>
        </w:rPr>
      </w:pPr>
    </w:p>
    <w:p w14:paraId="4B5FBA49" w14:textId="77777777" w:rsidR="007B6C9F" w:rsidRDefault="007B6C9F" w:rsidP="00C33620">
      <w:pPr>
        <w:tabs>
          <w:tab w:val="left" w:pos="851"/>
        </w:tabs>
        <w:spacing w:line="276" w:lineRule="auto"/>
        <w:contextualSpacing/>
        <w:jc w:val="both"/>
        <w:rPr>
          <w:rFonts w:ascii="Garamond" w:hAnsi="Garamond"/>
          <w:b/>
          <w:bCs/>
        </w:rPr>
      </w:pPr>
    </w:p>
    <w:p w14:paraId="72BCA881" w14:textId="1881CDF1" w:rsidR="00C33620" w:rsidRDefault="00C33620" w:rsidP="00C33620">
      <w:pPr>
        <w:tabs>
          <w:tab w:val="left" w:pos="851"/>
        </w:tabs>
        <w:spacing w:line="276" w:lineRule="auto"/>
        <w:contextualSpacing/>
        <w:jc w:val="both"/>
        <w:rPr>
          <w:rFonts w:ascii="Garamond" w:hAnsi="Garamond"/>
        </w:rPr>
      </w:pPr>
      <w:r w:rsidRPr="002D09F1">
        <w:rPr>
          <w:rFonts w:ascii="Garamond" w:hAnsi="Garamond"/>
          <w:b/>
          <w:bCs/>
        </w:rPr>
        <w:t xml:space="preserve">DOCUMENT </w:t>
      </w:r>
      <w:r w:rsidR="007B6C9F">
        <w:rPr>
          <w:rFonts w:ascii="Garamond" w:hAnsi="Garamond"/>
          <w:b/>
          <w:bCs/>
        </w:rPr>
        <w:t>6</w:t>
      </w:r>
      <w:r w:rsidRPr="002D09F1">
        <w:rPr>
          <w:rFonts w:ascii="Garamond" w:hAnsi="Garamond"/>
          <w:b/>
          <w:bCs/>
        </w:rPr>
        <w:t> </w:t>
      </w:r>
      <w:r>
        <w:rPr>
          <w:rFonts w:ascii="Garamond" w:hAnsi="Garamond"/>
        </w:rPr>
        <w:t xml:space="preserve">: </w:t>
      </w:r>
      <w:r w:rsidRPr="002D09F1">
        <w:rPr>
          <w:rFonts w:ascii="Garamond" w:hAnsi="Garamond"/>
        </w:rPr>
        <w:t>C</w:t>
      </w:r>
      <w:r>
        <w:rPr>
          <w:rFonts w:ascii="Garamond" w:hAnsi="Garamond"/>
        </w:rPr>
        <w:t>onseil constitutionnel</w:t>
      </w:r>
      <w:r w:rsidRPr="002D09F1">
        <w:rPr>
          <w:rFonts w:ascii="Garamond" w:hAnsi="Garamond"/>
        </w:rPr>
        <w:t xml:space="preserve">, </w:t>
      </w:r>
      <w:r w:rsidR="00EE59ED">
        <w:rPr>
          <w:rFonts w:ascii="Garamond" w:hAnsi="Garamond"/>
        </w:rPr>
        <w:t xml:space="preserve">Décision QPC du </w:t>
      </w:r>
      <w:r w:rsidRPr="002D09F1">
        <w:rPr>
          <w:rFonts w:ascii="Garamond" w:hAnsi="Garamond"/>
        </w:rPr>
        <w:t xml:space="preserve">28 janvier 2022, </w:t>
      </w:r>
      <w:r w:rsidRPr="002D09F1">
        <w:rPr>
          <w:rFonts w:ascii="Garamond" w:hAnsi="Garamond"/>
          <w:i/>
          <w:iCs/>
        </w:rPr>
        <w:t>Cédric L.</w:t>
      </w:r>
    </w:p>
    <w:p w14:paraId="4A995C3E" w14:textId="77777777" w:rsidR="00C33620" w:rsidRDefault="00C33620" w:rsidP="00C33620">
      <w:pPr>
        <w:tabs>
          <w:tab w:val="left" w:pos="851"/>
        </w:tabs>
        <w:spacing w:line="276" w:lineRule="auto"/>
        <w:contextualSpacing/>
        <w:jc w:val="both"/>
        <w:rPr>
          <w:rFonts w:ascii="Garamond" w:hAnsi="Garamond"/>
        </w:rPr>
      </w:pPr>
    </w:p>
    <w:p w14:paraId="693B5D2C" w14:textId="10E078B9" w:rsidR="00F57C6E" w:rsidRPr="00F57C6E" w:rsidRDefault="00F57C6E" w:rsidP="00F57C6E">
      <w:pPr>
        <w:spacing w:line="276" w:lineRule="auto"/>
        <w:contextualSpacing/>
        <w:jc w:val="both"/>
        <w:rPr>
          <w:rFonts w:ascii="Garamond" w:hAnsi="Garamond"/>
        </w:rPr>
      </w:pPr>
      <w:r w:rsidRPr="00F57C6E">
        <w:rPr>
          <w:rFonts w:ascii="Garamond" w:hAnsi="Garamond"/>
        </w:rPr>
        <w:t>6. En application de l'article 38 de la directive 2014/23/UE du 26 f</w:t>
      </w:r>
      <w:r>
        <w:rPr>
          <w:rFonts w:ascii="Garamond" w:hAnsi="Garamond"/>
        </w:rPr>
        <w:t>é</w:t>
      </w:r>
      <w:r w:rsidRPr="00F57C6E">
        <w:rPr>
          <w:rFonts w:ascii="Garamond" w:hAnsi="Garamond"/>
        </w:rPr>
        <w:t>vrier 2014 et de l'article 57 de la directive 2014/24/UE du même jour, les autorités adjudicatrices doivent exclure un opérateur économique des procédures de passation des concessions et des marchés lorsque cet opérateur a fait l'objet d'une condamnation définitive pour l'une des infractions que ces articles énumèrent.</w:t>
      </w:r>
    </w:p>
    <w:p w14:paraId="25724192"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2B4A36B0"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7. Les dispositions contestées des articles L. 2141-1 et L. 3123-1 du code de la commande publique visent à assurer la transposition de ces directives en prévoyant que sont exclues respectivement de la procédure de passation des marchés et de la procédure de passation des contrats de concession les personnes ayant fait l'objet d'une condamnation définitive pour l'une des infractions que ces articles visent.</w:t>
      </w:r>
    </w:p>
    <w:p w14:paraId="5920BDB3"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581A6BF8"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8. Ces dispositions se bornent ainsi à tirer les conséquences nécessaires de dispositions inconditionnelles et précises de ces directives.</w:t>
      </w:r>
    </w:p>
    <w:p w14:paraId="08ACF12C"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6DACE3EC"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9. Par conséquent, le Conseil constitutionnel n'est compétent pour contrôler la conformité des dispositions contestées aux droits et libertés que la Constitution garantit que dans la mesure où elles mettent en cause une règle ou un principe qui, ne trouvant pas de protection équivalente dans le droit de l'Union européenne, est inhérent à l'identité constitutionnelle de la France.</w:t>
      </w:r>
    </w:p>
    <w:p w14:paraId="1CB0C4C1"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4478E8DE"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10. Or, en premier lieu, d'une part, les dispositions contestées, qui n'ont pas pour objet de punir les opérateurs économiques mais d'assurer l'efficacité de la commande publique et le bon usage des deniers publics, n'instituent pas une sanction ayant le caractère d'une punition. D'autre part, les principes de nécessité et d'individualisation des peines, qui sont protégés par le droit de l'Union européenne, ne constituent pas des règles ou principes inhérents à l'identité constitutionnelle de la France.</w:t>
      </w:r>
    </w:p>
    <w:p w14:paraId="6D8A74CC"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73AFA261"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11. En second lieu, le droit à un recours juridictionnel effectif, qui est également protégé par le droit de l'Union européenne, ne constitue pas non plus une règle ou un principe inhérent à l'identité constitutionnelle de la France.</w:t>
      </w:r>
    </w:p>
    <w:p w14:paraId="33F54F36"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w:t>
      </w:r>
    </w:p>
    <w:p w14:paraId="78748844" w14:textId="78CD9397" w:rsidR="00C33620" w:rsidRDefault="00F57C6E" w:rsidP="00F57C6E">
      <w:pPr>
        <w:spacing w:line="276" w:lineRule="auto"/>
        <w:contextualSpacing/>
        <w:jc w:val="both"/>
        <w:rPr>
          <w:rFonts w:ascii="Garamond" w:hAnsi="Garamond"/>
        </w:rPr>
      </w:pPr>
      <w:r w:rsidRPr="00F57C6E">
        <w:rPr>
          <w:rFonts w:ascii="Garamond" w:hAnsi="Garamond"/>
        </w:rPr>
        <w:t>12. Par suite, il n'y a pas lieu, pour le Conseil constitutionnel, de statuer sur la question prioritaire de constitutionnalité.</w:t>
      </w:r>
    </w:p>
    <w:p w14:paraId="459547F3" w14:textId="0AF61F87" w:rsidR="00F57C6E" w:rsidRDefault="00F57C6E" w:rsidP="00F57C6E">
      <w:pPr>
        <w:spacing w:line="276" w:lineRule="auto"/>
        <w:contextualSpacing/>
        <w:jc w:val="both"/>
        <w:rPr>
          <w:rFonts w:ascii="Garamond" w:hAnsi="Garamond"/>
        </w:rPr>
      </w:pPr>
    </w:p>
    <w:p w14:paraId="1F244740" w14:textId="77777777" w:rsidR="00F57C6E" w:rsidRPr="00F57C6E" w:rsidRDefault="00F57C6E" w:rsidP="00F57C6E">
      <w:pPr>
        <w:spacing w:line="276" w:lineRule="auto"/>
        <w:contextualSpacing/>
        <w:jc w:val="both"/>
        <w:rPr>
          <w:rFonts w:ascii="Garamond" w:hAnsi="Garamond"/>
        </w:rPr>
      </w:pPr>
    </w:p>
    <w:p w14:paraId="7AD6D22E" w14:textId="77777777" w:rsidR="00F57C6E" w:rsidRDefault="00F57C6E">
      <w:pPr>
        <w:rPr>
          <w:rFonts w:ascii="Garamond" w:hAnsi="Garamond"/>
          <w:b/>
          <w:bCs/>
        </w:rPr>
      </w:pPr>
      <w:r>
        <w:rPr>
          <w:rFonts w:ascii="Garamond" w:hAnsi="Garamond"/>
          <w:b/>
          <w:bCs/>
        </w:rPr>
        <w:br w:type="page"/>
      </w:r>
    </w:p>
    <w:p w14:paraId="299C9F6D" w14:textId="0E840C41" w:rsidR="00C33620" w:rsidRDefault="00C33620" w:rsidP="00C33620">
      <w:pPr>
        <w:pBdr>
          <w:top w:val="single" w:sz="4" w:space="1" w:color="auto"/>
          <w:left w:val="single" w:sz="4" w:space="4" w:color="auto"/>
          <w:bottom w:val="single" w:sz="4" w:space="1" w:color="auto"/>
          <w:right w:val="single" w:sz="4" w:space="4" w:color="auto"/>
        </w:pBdr>
        <w:spacing w:line="276" w:lineRule="auto"/>
        <w:contextualSpacing/>
        <w:jc w:val="center"/>
        <w:rPr>
          <w:rFonts w:ascii="Garamond" w:hAnsi="Garamond"/>
          <w:b/>
          <w:bCs/>
        </w:rPr>
      </w:pPr>
      <w:r>
        <w:rPr>
          <w:rFonts w:ascii="Garamond" w:hAnsi="Garamond"/>
          <w:b/>
          <w:bCs/>
        </w:rPr>
        <w:lastRenderedPageBreak/>
        <w:t>III. Le dialogue avec la Cour de justice de l’Union européenne</w:t>
      </w:r>
    </w:p>
    <w:p w14:paraId="789CE2D9" w14:textId="77777777" w:rsidR="00C33620" w:rsidRDefault="00C33620" w:rsidP="00C33620">
      <w:pPr>
        <w:spacing w:line="276" w:lineRule="auto"/>
        <w:contextualSpacing/>
        <w:rPr>
          <w:rFonts w:ascii="Garamond" w:hAnsi="Garamond"/>
          <w:b/>
          <w:bCs/>
        </w:rPr>
      </w:pPr>
    </w:p>
    <w:p w14:paraId="35B79F43" w14:textId="77777777" w:rsidR="00C33620" w:rsidRDefault="00C33620" w:rsidP="00C33620">
      <w:pPr>
        <w:spacing w:line="276" w:lineRule="auto"/>
        <w:contextualSpacing/>
        <w:rPr>
          <w:rFonts w:ascii="Garamond" w:hAnsi="Garamond"/>
          <w:b/>
          <w:bCs/>
        </w:rPr>
      </w:pPr>
    </w:p>
    <w:p w14:paraId="60658DB4" w14:textId="206FB591" w:rsidR="00C33620" w:rsidRDefault="00C33620" w:rsidP="00C33620">
      <w:pPr>
        <w:spacing w:line="276" w:lineRule="auto"/>
        <w:contextualSpacing/>
        <w:jc w:val="both"/>
        <w:rPr>
          <w:rFonts w:ascii="Garamond" w:hAnsi="Garamond"/>
          <w:b/>
          <w:bCs/>
        </w:rPr>
      </w:pPr>
      <w:r>
        <w:rPr>
          <w:rFonts w:ascii="Garamond" w:hAnsi="Garamond"/>
          <w:b/>
          <w:bCs/>
        </w:rPr>
        <w:t xml:space="preserve">DOCUMENT </w:t>
      </w:r>
      <w:r w:rsidR="007B6C9F">
        <w:rPr>
          <w:rFonts w:ascii="Garamond" w:hAnsi="Garamond"/>
          <w:b/>
          <w:bCs/>
        </w:rPr>
        <w:t>7</w:t>
      </w:r>
      <w:r>
        <w:rPr>
          <w:rFonts w:ascii="Garamond" w:hAnsi="Garamond"/>
          <w:b/>
          <w:bCs/>
        </w:rPr>
        <w:t xml:space="preserve"> : </w:t>
      </w:r>
      <w:r w:rsidRPr="006C40A5">
        <w:rPr>
          <w:rFonts w:ascii="Garamond" w:hAnsi="Garamond"/>
        </w:rPr>
        <w:t xml:space="preserve">Conseil constitutionnel, Décision n°2010-605 DC du 12 mai 2010, </w:t>
      </w:r>
      <w:r w:rsidRPr="006C40A5">
        <w:rPr>
          <w:rFonts w:ascii="Garamond" w:hAnsi="Garamond"/>
          <w:i/>
          <w:iCs/>
        </w:rPr>
        <w:t>Loi relative à l’ouverture à la concurrence et à la régulation du secteur des jeux d’argent et de hasard en ligne</w:t>
      </w:r>
      <w:r>
        <w:rPr>
          <w:rFonts w:ascii="Garamond" w:hAnsi="Garamond"/>
          <w:b/>
          <w:bCs/>
        </w:rPr>
        <w:t>.</w:t>
      </w:r>
    </w:p>
    <w:p w14:paraId="32FA0D5B" w14:textId="4669F18D" w:rsidR="00C33620" w:rsidRDefault="00C33620" w:rsidP="00C33620">
      <w:pPr>
        <w:spacing w:line="276" w:lineRule="auto"/>
        <w:contextualSpacing/>
        <w:rPr>
          <w:rFonts w:ascii="Garamond" w:hAnsi="Garamond"/>
          <w:b/>
          <w:bCs/>
        </w:rPr>
      </w:pPr>
    </w:p>
    <w:p w14:paraId="52DE274D"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69649612" w14:textId="77777777" w:rsidR="00F57C6E" w:rsidRDefault="00F57C6E" w:rsidP="00C33620">
      <w:pPr>
        <w:spacing w:line="276" w:lineRule="auto"/>
        <w:contextualSpacing/>
        <w:rPr>
          <w:rFonts w:ascii="Garamond" w:hAnsi="Garamond"/>
          <w:b/>
          <w:bCs/>
        </w:rPr>
      </w:pPr>
    </w:p>
    <w:p w14:paraId="025CFD9C" w14:textId="0654ECD5" w:rsidR="00F57C6E" w:rsidRDefault="00F57C6E" w:rsidP="00F57C6E">
      <w:pPr>
        <w:spacing w:line="276" w:lineRule="auto"/>
        <w:contextualSpacing/>
        <w:jc w:val="both"/>
        <w:rPr>
          <w:rFonts w:ascii="Garamond" w:hAnsi="Garamond"/>
        </w:rPr>
      </w:pPr>
      <w:r w:rsidRPr="00F57C6E">
        <w:rPr>
          <w:rFonts w:ascii="Garamond" w:hAnsi="Garamond"/>
        </w:rPr>
        <w:t xml:space="preserve">Quant à la supériorité des engagements internationaux et européens sur les lois </w:t>
      </w:r>
    </w:p>
    <w:p w14:paraId="030E5218" w14:textId="77777777" w:rsidR="00F57C6E" w:rsidRPr="00F57C6E" w:rsidRDefault="00F57C6E" w:rsidP="00F57C6E">
      <w:pPr>
        <w:spacing w:line="276" w:lineRule="auto"/>
        <w:contextualSpacing/>
        <w:jc w:val="both"/>
        <w:rPr>
          <w:rFonts w:ascii="Garamond" w:hAnsi="Garamond"/>
        </w:rPr>
      </w:pPr>
    </w:p>
    <w:p w14:paraId="4479F1C2" w14:textId="57701B5B" w:rsidR="00F57C6E" w:rsidRDefault="00F57C6E" w:rsidP="00F57C6E">
      <w:pPr>
        <w:spacing w:line="276" w:lineRule="auto"/>
        <w:contextualSpacing/>
        <w:jc w:val="both"/>
        <w:rPr>
          <w:rFonts w:ascii="Garamond" w:hAnsi="Garamond"/>
        </w:rPr>
      </w:pPr>
      <w:r w:rsidRPr="00F57C6E">
        <w:rPr>
          <w:rFonts w:ascii="Garamond" w:hAnsi="Garamond"/>
        </w:rPr>
        <w:t>10. Considérant, d'une part, qu'aux termes de l'article 55 de la Constitution : « Les traités ou accords régulièrement ratifiés ou approuvés ont, dès leur publication, une autorité supérieure à celle des lois, sous réserve, pour chaque accord ou traité, de son application par l'autre partie » ; que, si ces dispositions confèrent aux traités, dans les conditions qu'elles définissent, une autorité supérieure à celle des lois, elles ne prescrivent ni n'impliquent que le respect de ce principe doive être assuré dans le cadre du contrôle de la conformité des lois à la Constitution ;</w:t>
      </w:r>
    </w:p>
    <w:p w14:paraId="02D648EF" w14:textId="77777777" w:rsidR="00F57C6E" w:rsidRPr="00F57C6E" w:rsidRDefault="00F57C6E" w:rsidP="00F57C6E">
      <w:pPr>
        <w:spacing w:line="276" w:lineRule="auto"/>
        <w:contextualSpacing/>
        <w:jc w:val="both"/>
        <w:rPr>
          <w:rFonts w:ascii="Garamond" w:hAnsi="Garamond"/>
        </w:rPr>
      </w:pPr>
    </w:p>
    <w:p w14:paraId="153C8024" w14:textId="71B8B85C" w:rsidR="00F57C6E" w:rsidRDefault="00F57C6E" w:rsidP="00F57C6E">
      <w:pPr>
        <w:spacing w:line="276" w:lineRule="auto"/>
        <w:contextualSpacing/>
        <w:jc w:val="both"/>
        <w:rPr>
          <w:rFonts w:ascii="Garamond" w:hAnsi="Garamond"/>
        </w:rPr>
      </w:pPr>
      <w:r w:rsidRPr="00F57C6E">
        <w:rPr>
          <w:rFonts w:ascii="Garamond" w:hAnsi="Garamond"/>
        </w:rPr>
        <w:t>11. Considérant, d'autre part, que, pour mettre en œuvre le droit reconnu par l'article 61-1 de la Constitution à tout justiciable de voir examiner, à sa demande, le moyen tiré de ce qu'une disposition législative méconnaît les droits et libertés que la Constitution garantit, le cinquième alinéa de l'article 23-2 de l'ordonnance du 7 novembre 1958 susvisée et le deuxième alinéa de son article 23-5 précisent l'articulation entre le contrôle de conformité des lois à la Constitution, qui incombe au Conseil constitutionnel, et le contrôle de leur compatibilité avec les engagements internationaux ou européens de la France, qui incombe aux juridictions administratives et judiciaires ; qu'ainsi, le moyen tiré du défaut de compatibilité d'une disposition législative aux engagements internationaux et européens de la France ne saurait être regardé comme un grief d'inconstitutionnalité ;</w:t>
      </w:r>
    </w:p>
    <w:p w14:paraId="5685A2D3" w14:textId="77777777" w:rsidR="00F57C6E" w:rsidRPr="00F57C6E" w:rsidRDefault="00F57C6E" w:rsidP="00F57C6E">
      <w:pPr>
        <w:spacing w:line="276" w:lineRule="auto"/>
        <w:contextualSpacing/>
        <w:jc w:val="both"/>
        <w:rPr>
          <w:rFonts w:ascii="Garamond" w:hAnsi="Garamond"/>
        </w:rPr>
      </w:pPr>
    </w:p>
    <w:p w14:paraId="4D0C9555" w14:textId="5FC45DBB" w:rsidR="00F57C6E" w:rsidRDefault="00F57C6E" w:rsidP="00F57C6E">
      <w:pPr>
        <w:spacing w:line="276" w:lineRule="auto"/>
        <w:contextualSpacing/>
        <w:jc w:val="both"/>
        <w:rPr>
          <w:rFonts w:ascii="Garamond" w:hAnsi="Garamond"/>
        </w:rPr>
      </w:pPr>
      <w:r w:rsidRPr="00F57C6E">
        <w:rPr>
          <w:rFonts w:ascii="Garamond" w:hAnsi="Garamond"/>
        </w:rPr>
        <w:t>12. Considérant que l'examen d'un tel grief, fondé sur les traités ou le droit de l'Union européenne, relève de la compétence des juridictions administratives et judiciaires ;</w:t>
      </w:r>
    </w:p>
    <w:p w14:paraId="0B4CAA0D" w14:textId="77777777" w:rsidR="00F57C6E" w:rsidRPr="00F57C6E" w:rsidRDefault="00F57C6E" w:rsidP="00F57C6E">
      <w:pPr>
        <w:spacing w:line="276" w:lineRule="auto"/>
        <w:contextualSpacing/>
        <w:jc w:val="both"/>
        <w:rPr>
          <w:rFonts w:ascii="Garamond" w:hAnsi="Garamond"/>
        </w:rPr>
      </w:pPr>
    </w:p>
    <w:p w14:paraId="76C9B6D1" w14:textId="17246368" w:rsidR="00F57C6E" w:rsidRDefault="00F57C6E" w:rsidP="00F57C6E">
      <w:pPr>
        <w:spacing w:line="276" w:lineRule="auto"/>
        <w:contextualSpacing/>
        <w:jc w:val="both"/>
        <w:rPr>
          <w:rFonts w:ascii="Garamond" w:hAnsi="Garamond"/>
        </w:rPr>
      </w:pPr>
      <w:r w:rsidRPr="00F57C6E">
        <w:rPr>
          <w:rFonts w:ascii="Garamond" w:hAnsi="Garamond"/>
        </w:rPr>
        <w:t>13. Considérant, en premier lieu, que l'autorité qui s'attache aux décisions du Conseil constitutionnel en vertu de l'article 62 de la Constitution ne limite pas la compétence des juridictions administratives et judiciaires pour faire prévaloir ces engagements sur une disposition législative incompatible avec eux, même lorsque cette dernière a été déclarée conforme à la Constitution ;</w:t>
      </w:r>
    </w:p>
    <w:p w14:paraId="6A064679" w14:textId="77777777" w:rsidR="00F57C6E" w:rsidRPr="00F57C6E" w:rsidRDefault="00F57C6E" w:rsidP="00F57C6E">
      <w:pPr>
        <w:spacing w:line="276" w:lineRule="auto"/>
        <w:contextualSpacing/>
        <w:jc w:val="both"/>
        <w:rPr>
          <w:rFonts w:ascii="Garamond" w:hAnsi="Garamond"/>
        </w:rPr>
      </w:pPr>
    </w:p>
    <w:p w14:paraId="33776112" w14:textId="0DCA8AEB" w:rsidR="00F57C6E" w:rsidRDefault="00F57C6E" w:rsidP="00F57C6E">
      <w:pPr>
        <w:spacing w:line="276" w:lineRule="auto"/>
        <w:contextualSpacing/>
        <w:jc w:val="both"/>
        <w:rPr>
          <w:rFonts w:ascii="Garamond" w:hAnsi="Garamond"/>
        </w:rPr>
      </w:pPr>
      <w:r w:rsidRPr="00F57C6E">
        <w:rPr>
          <w:rFonts w:ascii="Garamond" w:hAnsi="Garamond"/>
        </w:rPr>
        <w:t xml:space="preserve">14. Considérant, en deuxième lieu, qu'il ressort des termes mêmes de l'article 23-3 de l'ordonnance du 7 novembre 1958 susvisée que le juge qui transmet une question prioritaire de constitutionnalité, dont la durée d'examen est strictement encadrée, peut, d'une part, statuer sans attendre la décision relative à la question prioritaire de constitutionnalité si la loi ou le règlement prévoit qu'il statue dans un délai déterminé ou en urgence et, d'autre part, prendre toutes les mesures provisoires ou conservatoires nécessaires ; qu'il peut ainsi suspendre immédiatement tout éventuel effet de la loi incompatible avec le droit de l'Union, assurer la préservation des droits que les justiciables tiennent des engagements internationaux et européens de la France et garantir la pleine efficacité de la décision juridictionnelle à intervenir ; que l'article 61- 1 de la </w:t>
      </w:r>
      <w:r w:rsidRPr="00F57C6E">
        <w:rPr>
          <w:rFonts w:ascii="Garamond" w:hAnsi="Garamond"/>
        </w:rPr>
        <w:lastRenderedPageBreak/>
        <w:t>Constitution pas plus que les articles 23 1 et suivants de l'ordonnance du 7 novembre 1958 susvisée ne font obstacle à ce que le juge saisi d'un litige dans lequel est invoquée l'incompatibilité d'une loi avec le droit de l'Union européenne fasse, à tout moment, ce qui est nécessaire pour empêcher que des dispositions législatives qui feraient obstacle à la pleine efficacité des normes de l'Union soient appliquées dans ce litige ;</w:t>
      </w:r>
    </w:p>
    <w:p w14:paraId="2E400F9F" w14:textId="77777777" w:rsidR="00F57C6E" w:rsidRPr="00F57C6E" w:rsidRDefault="00F57C6E" w:rsidP="00F57C6E">
      <w:pPr>
        <w:spacing w:line="276" w:lineRule="auto"/>
        <w:contextualSpacing/>
        <w:jc w:val="both"/>
        <w:rPr>
          <w:rFonts w:ascii="Garamond" w:hAnsi="Garamond"/>
        </w:rPr>
      </w:pPr>
    </w:p>
    <w:p w14:paraId="05D3ADCF" w14:textId="6AA40DB7" w:rsidR="00F57C6E" w:rsidRDefault="00F57C6E" w:rsidP="00F57C6E">
      <w:pPr>
        <w:spacing w:line="276" w:lineRule="auto"/>
        <w:contextualSpacing/>
        <w:jc w:val="both"/>
        <w:rPr>
          <w:rFonts w:ascii="Garamond" w:hAnsi="Garamond"/>
        </w:rPr>
      </w:pPr>
      <w:r w:rsidRPr="00F57C6E">
        <w:rPr>
          <w:rFonts w:ascii="Garamond" w:hAnsi="Garamond"/>
        </w:rPr>
        <w:t>15. Considérant, en dernier lieu, que l'article 61-1 de la Constitution et les articles 23-1 et suivants de l'ordonnance du 7 novembre 1958 susvisée ne privent pas davantage les juridictions administratives et judiciaires, y compris lorsqu'elles transmettent une question prioritaire de constitutionnalité, de la faculté ou, lorsque leurs décisions ne sont pas susceptibles d'un recours juridictionnel de droit interne, de l'obligation de saisir la Cour de justice de l'Union européenne d'une question préjudicielle en application de l'article 267 du traité sur le fonctionnement de l'Union européenne ;</w:t>
      </w:r>
    </w:p>
    <w:p w14:paraId="32AF2635" w14:textId="77777777" w:rsidR="00F57C6E" w:rsidRPr="00F57C6E" w:rsidRDefault="00F57C6E" w:rsidP="00F57C6E">
      <w:pPr>
        <w:spacing w:line="276" w:lineRule="auto"/>
        <w:contextualSpacing/>
        <w:jc w:val="both"/>
        <w:rPr>
          <w:rFonts w:ascii="Garamond" w:hAnsi="Garamond"/>
        </w:rPr>
      </w:pPr>
    </w:p>
    <w:p w14:paraId="24BF8F81" w14:textId="04599B58" w:rsidR="00F57C6E" w:rsidRDefault="00F57C6E" w:rsidP="00F57C6E">
      <w:pPr>
        <w:spacing w:line="276" w:lineRule="auto"/>
        <w:contextualSpacing/>
        <w:jc w:val="both"/>
        <w:rPr>
          <w:rFonts w:ascii="Garamond" w:hAnsi="Garamond"/>
        </w:rPr>
      </w:pPr>
      <w:r w:rsidRPr="00F57C6E">
        <w:rPr>
          <w:rFonts w:ascii="Garamond" w:hAnsi="Garamond"/>
        </w:rPr>
        <w:t xml:space="preserve">16. Considérant que, dans ces conditions, il n'appartient pas au Conseil constitutionnel, saisi en application de l'article 61 ou de l'article 61-1 de la Constitution, d'examiner la compatibilité d'une loi avec les engagements internationaux et européens de la France ; qu'ainsi, nonobstant la mention dans la Constitution du traité signé à Lisbonne le 13 décembre 2007, il ne lui revient pas de contrôler la compatibilité d'une loi avec les stipulations de ce traité ; que, par suite, la demande tendant à contrôler la compatibilité de la loi déférée avec les engagements internationaux et européens de la France, en particulier avec le droit de l'Union européenne, doit être écartée ; </w:t>
      </w:r>
    </w:p>
    <w:p w14:paraId="7CA93B82" w14:textId="77777777" w:rsidR="00F57C6E" w:rsidRPr="00F57C6E" w:rsidRDefault="00F57C6E" w:rsidP="00F57C6E">
      <w:pPr>
        <w:spacing w:line="276" w:lineRule="auto"/>
        <w:contextualSpacing/>
        <w:jc w:val="both"/>
        <w:rPr>
          <w:rFonts w:ascii="Garamond" w:hAnsi="Garamond"/>
        </w:rPr>
      </w:pPr>
    </w:p>
    <w:p w14:paraId="63F10F45" w14:textId="035CE171" w:rsidR="00F57C6E" w:rsidRDefault="00F57C6E" w:rsidP="00F57C6E">
      <w:pPr>
        <w:spacing w:line="276" w:lineRule="auto"/>
        <w:contextualSpacing/>
        <w:jc w:val="both"/>
        <w:rPr>
          <w:rFonts w:ascii="Garamond" w:hAnsi="Garamond"/>
        </w:rPr>
      </w:pPr>
      <w:r w:rsidRPr="00F57C6E">
        <w:rPr>
          <w:rFonts w:ascii="Garamond" w:hAnsi="Garamond"/>
        </w:rPr>
        <w:t xml:space="preserve">Quant à l'exigence de transposition des directives européennes </w:t>
      </w:r>
    </w:p>
    <w:p w14:paraId="1D415F3B" w14:textId="77777777" w:rsidR="00F57C6E" w:rsidRPr="00F57C6E" w:rsidRDefault="00F57C6E" w:rsidP="00F57C6E">
      <w:pPr>
        <w:spacing w:line="276" w:lineRule="auto"/>
        <w:contextualSpacing/>
        <w:jc w:val="both"/>
        <w:rPr>
          <w:rFonts w:ascii="Garamond" w:hAnsi="Garamond"/>
        </w:rPr>
      </w:pPr>
    </w:p>
    <w:p w14:paraId="31E3A7E1" w14:textId="6FEF103B" w:rsidR="00F57C6E" w:rsidRDefault="00F57C6E" w:rsidP="00F57C6E">
      <w:pPr>
        <w:spacing w:line="276" w:lineRule="auto"/>
        <w:contextualSpacing/>
        <w:jc w:val="both"/>
        <w:rPr>
          <w:rFonts w:ascii="Garamond" w:hAnsi="Garamond"/>
        </w:rPr>
      </w:pPr>
      <w:r w:rsidRPr="00F57C6E">
        <w:rPr>
          <w:rFonts w:ascii="Garamond" w:hAnsi="Garamond"/>
        </w:rPr>
        <w:t>17. Considérant qu'aux termes de l'article 88 1 de la Constitution : « La République participe à l'Union européenne, constituée d'États qui ont choisi librement d'exercer en commun certaines de leurs compétences en vertu du traité sur l'Union européenne et du traité sur le fonctionnement de l'Union européenne, tels qu'ils résultent du traité signé à Lisbonne le 13 décembre 2007 » ; qu'ainsi, la transposition en droit interne d'une directive communautaire résulte d'une exigence constitutionnelle ;</w:t>
      </w:r>
    </w:p>
    <w:p w14:paraId="414E914F" w14:textId="77777777" w:rsidR="00F57C6E" w:rsidRPr="00F57C6E" w:rsidRDefault="00F57C6E" w:rsidP="00F57C6E">
      <w:pPr>
        <w:spacing w:line="276" w:lineRule="auto"/>
        <w:contextualSpacing/>
        <w:jc w:val="both"/>
        <w:rPr>
          <w:rFonts w:ascii="Garamond" w:hAnsi="Garamond"/>
        </w:rPr>
      </w:pPr>
    </w:p>
    <w:p w14:paraId="05AC261A" w14:textId="7E29507F" w:rsidR="00F57C6E" w:rsidRDefault="00F57C6E" w:rsidP="00F57C6E">
      <w:pPr>
        <w:spacing w:line="276" w:lineRule="auto"/>
        <w:contextualSpacing/>
        <w:jc w:val="both"/>
        <w:rPr>
          <w:rFonts w:ascii="Garamond" w:hAnsi="Garamond"/>
        </w:rPr>
      </w:pPr>
      <w:r w:rsidRPr="00F57C6E">
        <w:rPr>
          <w:rFonts w:ascii="Garamond" w:hAnsi="Garamond"/>
        </w:rPr>
        <w:t xml:space="preserve">18. Considérant qu'il appartient au Conseil constitutionnel, saisi dans les conditions prévues par l'article 61 de la Constitution d'une loi ayant pour objet de transposer en droit interne une directive communautaire, de veiller au respect de cette exigence ; que, toutefois, le contrôle qu'il exerce à cet effet est soumis à une double limite ; qu'en premier lieu, la transposition d'une directive ne saurait aller à l'encontre d'une règle ou d'un principe inhérent à l'identité constitutionnelle de la France, sauf à ce que le constituant y ait consenti ; qu'en second lieu, devant statuer avant la promulgation de la loi dans le délai prévu par l'article 61 de la Constitution, le Conseil constitutionnel ne peut saisir la Cour de justice de l'Union européenne sur le fondement de l'article 267 du traité sur le fonctionnement de l'Union européenne ; qu'en conséquence, il ne saurait déclarer non conforme à l'article 88-1 de la Constitution qu'une disposition législative manifestement incompatible avec la directive qu'elle a pour objet de transposer ; qu'en tout état de cause, il appartient aux juridictions administratives et judiciaires d'exercer le contrôle de compatibilité de la loi au regard des engagements européens de la France et, le cas échéant, de saisir la Cour de justice de l'Union européenne à titre préjudiciel ; </w:t>
      </w:r>
    </w:p>
    <w:p w14:paraId="12021F4F" w14:textId="77777777" w:rsidR="00F57C6E" w:rsidRPr="00F57C6E" w:rsidRDefault="00F57C6E" w:rsidP="00F57C6E">
      <w:pPr>
        <w:spacing w:line="276" w:lineRule="auto"/>
        <w:contextualSpacing/>
        <w:jc w:val="both"/>
        <w:rPr>
          <w:rFonts w:ascii="Garamond" w:hAnsi="Garamond"/>
        </w:rPr>
      </w:pPr>
    </w:p>
    <w:p w14:paraId="383E723C" w14:textId="7677E73F" w:rsidR="00F57C6E" w:rsidRDefault="00F57C6E" w:rsidP="00F57C6E">
      <w:pPr>
        <w:spacing w:line="276" w:lineRule="auto"/>
        <w:contextualSpacing/>
        <w:jc w:val="both"/>
        <w:rPr>
          <w:rFonts w:ascii="Garamond" w:hAnsi="Garamond"/>
        </w:rPr>
      </w:pPr>
      <w:r w:rsidRPr="00F57C6E">
        <w:rPr>
          <w:rFonts w:ascii="Garamond" w:hAnsi="Garamond"/>
        </w:rPr>
        <w:lastRenderedPageBreak/>
        <w:t>19. Considérant, en revanche, que le respect de l'exigence constitutionnelle de transposition des directives ne relève pas des « droits et libertés que la Constitution garantit » et ne saurait, par suite, être invoqué dans le cadre d'une question prioritaire de constitutionnalité ;</w:t>
      </w:r>
    </w:p>
    <w:p w14:paraId="70EF5C03" w14:textId="77777777" w:rsidR="00F57C6E" w:rsidRPr="00F57C6E" w:rsidRDefault="00F57C6E" w:rsidP="00F57C6E">
      <w:pPr>
        <w:spacing w:line="276" w:lineRule="auto"/>
        <w:contextualSpacing/>
        <w:jc w:val="both"/>
        <w:rPr>
          <w:rFonts w:ascii="Garamond" w:hAnsi="Garamond"/>
        </w:rPr>
      </w:pPr>
    </w:p>
    <w:p w14:paraId="4EB149E1" w14:textId="29A9D04F" w:rsidR="00F57C6E" w:rsidRDefault="00F57C6E" w:rsidP="00F57C6E">
      <w:pPr>
        <w:spacing w:line="276" w:lineRule="auto"/>
        <w:contextualSpacing/>
        <w:jc w:val="both"/>
        <w:rPr>
          <w:rFonts w:ascii="Garamond" w:hAnsi="Garamond"/>
        </w:rPr>
      </w:pPr>
      <w:r w:rsidRPr="00F57C6E">
        <w:rPr>
          <w:rFonts w:ascii="Garamond" w:hAnsi="Garamond"/>
        </w:rPr>
        <w:t>20. Considérant qu'en l'espèce, la loi déférée n'a pas pour objet de transposer une directive ; que, dès lors, le grief tiré de la méconnaissance de l'article 88-1 de la Constitution doit être écarté ;</w:t>
      </w:r>
    </w:p>
    <w:p w14:paraId="72A92BDB" w14:textId="77777777" w:rsidR="00F57C6E" w:rsidRPr="00F57C6E" w:rsidRDefault="00F57C6E" w:rsidP="00F57C6E">
      <w:pPr>
        <w:spacing w:line="276" w:lineRule="auto"/>
        <w:contextualSpacing/>
        <w:jc w:val="both"/>
        <w:rPr>
          <w:rFonts w:ascii="Garamond" w:hAnsi="Garamond"/>
        </w:rPr>
      </w:pPr>
    </w:p>
    <w:p w14:paraId="1FC2AFA6" w14:textId="026C0DAA" w:rsidR="00F57C6E" w:rsidRPr="00F57C6E" w:rsidRDefault="00F57C6E" w:rsidP="00F57C6E">
      <w:pPr>
        <w:spacing w:line="276" w:lineRule="auto"/>
        <w:contextualSpacing/>
        <w:jc w:val="both"/>
        <w:rPr>
          <w:rFonts w:ascii="Garamond" w:hAnsi="Garamond"/>
        </w:rPr>
      </w:pPr>
      <w:r w:rsidRPr="00F57C6E">
        <w:rPr>
          <w:rFonts w:ascii="Garamond" w:hAnsi="Garamond"/>
        </w:rPr>
        <w:t>21. Considérant qu'il résulte de ce qui précède que les griefs tirés de la méconnaissance du droit de l'Union européenne doivent être rejetés ;</w:t>
      </w:r>
    </w:p>
    <w:p w14:paraId="4BDC0859" w14:textId="53391D57" w:rsidR="00F57C6E" w:rsidRDefault="00F57C6E" w:rsidP="00C33620">
      <w:pPr>
        <w:spacing w:line="276" w:lineRule="auto"/>
        <w:contextualSpacing/>
        <w:rPr>
          <w:rFonts w:ascii="Garamond" w:hAnsi="Garamond"/>
          <w:b/>
          <w:bCs/>
        </w:rPr>
      </w:pPr>
    </w:p>
    <w:p w14:paraId="3403DB0E"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7102B273" w14:textId="5F7EA20E" w:rsidR="00F57C6E" w:rsidRDefault="00F57C6E" w:rsidP="00C33620">
      <w:pPr>
        <w:spacing w:line="276" w:lineRule="auto"/>
        <w:contextualSpacing/>
        <w:rPr>
          <w:rFonts w:ascii="Garamond" w:hAnsi="Garamond"/>
          <w:b/>
          <w:bCs/>
        </w:rPr>
      </w:pPr>
    </w:p>
    <w:p w14:paraId="181BD505" w14:textId="77777777" w:rsidR="00F57C6E" w:rsidRDefault="00F57C6E" w:rsidP="00C33620">
      <w:pPr>
        <w:spacing w:line="276" w:lineRule="auto"/>
        <w:contextualSpacing/>
        <w:rPr>
          <w:rFonts w:ascii="Garamond" w:hAnsi="Garamond"/>
          <w:b/>
          <w:bCs/>
        </w:rPr>
      </w:pPr>
    </w:p>
    <w:p w14:paraId="3DDF232A" w14:textId="422C6C15" w:rsidR="00C33620" w:rsidRPr="006C40A5" w:rsidRDefault="00C33620" w:rsidP="00C33620">
      <w:pPr>
        <w:spacing w:line="276" w:lineRule="auto"/>
        <w:contextualSpacing/>
        <w:rPr>
          <w:rFonts w:ascii="Garamond" w:hAnsi="Garamond"/>
          <w:b/>
          <w:bCs/>
        </w:rPr>
      </w:pPr>
      <w:r>
        <w:rPr>
          <w:rFonts w:ascii="Garamond" w:hAnsi="Garamond"/>
          <w:b/>
          <w:bCs/>
        </w:rPr>
        <w:t xml:space="preserve">DOCUMENT </w:t>
      </w:r>
      <w:r w:rsidR="007B6C9F">
        <w:rPr>
          <w:rFonts w:ascii="Garamond" w:hAnsi="Garamond"/>
          <w:b/>
          <w:bCs/>
        </w:rPr>
        <w:t xml:space="preserve">8 </w:t>
      </w:r>
      <w:r w:rsidRPr="006C40A5">
        <w:rPr>
          <w:rFonts w:ascii="Garamond" w:hAnsi="Garamond"/>
        </w:rPr>
        <w:t xml:space="preserve">: CJUE, 22 juin 2010, </w:t>
      </w:r>
      <w:r w:rsidRPr="006C40A5">
        <w:rPr>
          <w:rFonts w:ascii="Garamond" w:hAnsi="Garamond"/>
          <w:i/>
          <w:iCs/>
        </w:rPr>
        <w:t xml:space="preserve">A. Melki et S. </w:t>
      </w:r>
      <w:proofErr w:type="spellStart"/>
      <w:r w:rsidRPr="006C40A5">
        <w:rPr>
          <w:rFonts w:ascii="Garamond" w:hAnsi="Garamond"/>
          <w:i/>
          <w:iCs/>
        </w:rPr>
        <w:t>Abdeli</w:t>
      </w:r>
      <w:proofErr w:type="spellEnd"/>
      <w:r>
        <w:rPr>
          <w:rFonts w:ascii="Garamond" w:hAnsi="Garamond"/>
          <w:i/>
          <w:iCs/>
        </w:rPr>
        <w:t>.</w:t>
      </w:r>
    </w:p>
    <w:p w14:paraId="3454EA8F" w14:textId="63F45343" w:rsidR="00C33620" w:rsidRDefault="00C33620" w:rsidP="00C33620">
      <w:pPr>
        <w:spacing w:line="276" w:lineRule="auto"/>
        <w:contextualSpacing/>
        <w:rPr>
          <w:rFonts w:ascii="Garamond" w:hAnsi="Garamond"/>
          <w:b/>
          <w:bCs/>
        </w:rPr>
      </w:pPr>
    </w:p>
    <w:p w14:paraId="25AE4377" w14:textId="77777777" w:rsidR="00F57C6E" w:rsidRPr="00C33620" w:rsidRDefault="00F57C6E" w:rsidP="00F57C6E">
      <w:pPr>
        <w:tabs>
          <w:tab w:val="left" w:pos="851"/>
        </w:tabs>
        <w:spacing w:line="276" w:lineRule="auto"/>
        <w:contextualSpacing/>
        <w:jc w:val="both"/>
        <w:rPr>
          <w:rFonts w:ascii="Garamond" w:hAnsi="Garamond"/>
        </w:rPr>
      </w:pPr>
      <w:r>
        <w:rPr>
          <w:rFonts w:ascii="Garamond" w:hAnsi="Garamond"/>
        </w:rPr>
        <w:t>[…]</w:t>
      </w:r>
    </w:p>
    <w:p w14:paraId="2F2B281A" w14:textId="77777777" w:rsidR="00F57C6E" w:rsidRDefault="00F57C6E" w:rsidP="00C33620">
      <w:pPr>
        <w:spacing w:line="276" w:lineRule="auto"/>
        <w:contextualSpacing/>
        <w:rPr>
          <w:rFonts w:ascii="Garamond" w:hAnsi="Garamond"/>
          <w:b/>
          <w:bCs/>
        </w:rPr>
      </w:pPr>
    </w:p>
    <w:p w14:paraId="2D47E69C" w14:textId="6D382107" w:rsidR="00F57C6E" w:rsidRDefault="00F57C6E" w:rsidP="00F57C6E">
      <w:pPr>
        <w:spacing w:line="276" w:lineRule="auto"/>
        <w:contextualSpacing/>
        <w:jc w:val="both"/>
        <w:rPr>
          <w:rFonts w:ascii="Garamond" w:hAnsi="Garamond"/>
        </w:rPr>
      </w:pPr>
      <w:r w:rsidRPr="00F57C6E">
        <w:rPr>
          <w:rFonts w:ascii="Garamond" w:hAnsi="Garamond"/>
        </w:rPr>
        <w:t>40. L’article 267 TFUE attribue compétence à la Cour pour statuer, à titre préjudiciel, tant sur l’interprétation des traités et des actes pris par les institutions, organes ou organismes de l’Union que sur la validité de ces actes. Cet article dispose, à son deuxième alinéa, qu’une juridiction nationale peut soumettre de telles questions à la Cour, si elle estime qu’une décision sur ce point est nécessaire pour rendre son jugement, et, à son troisième alinéa, qu’elle est tenue de le faire si ses décisions ne sont pas susceptibles d’un recours juridictionnel de droit interne.</w:t>
      </w:r>
    </w:p>
    <w:p w14:paraId="1D57FBA9" w14:textId="77777777" w:rsidR="00F57C6E" w:rsidRPr="00F57C6E" w:rsidRDefault="00F57C6E" w:rsidP="00F57C6E">
      <w:pPr>
        <w:spacing w:line="276" w:lineRule="auto"/>
        <w:contextualSpacing/>
        <w:jc w:val="both"/>
        <w:rPr>
          <w:rFonts w:ascii="Garamond" w:hAnsi="Garamond"/>
        </w:rPr>
      </w:pPr>
    </w:p>
    <w:p w14:paraId="3A66C4D7" w14:textId="3825825C" w:rsidR="00F57C6E" w:rsidRDefault="00F57C6E" w:rsidP="00F57C6E">
      <w:pPr>
        <w:spacing w:line="276" w:lineRule="auto"/>
        <w:contextualSpacing/>
        <w:jc w:val="both"/>
        <w:rPr>
          <w:rFonts w:ascii="Garamond" w:hAnsi="Garamond"/>
        </w:rPr>
      </w:pPr>
      <w:r w:rsidRPr="00F57C6E">
        <w:rPr>
          <w:rFonts w:ascii="Garamond" w:hAnsi="Garamond"/>
        </w:rPr>
        <w:t xml:space="preserve">42. La Cour en a conclu que l’existence d’une règle de droit interne liant les juridictions ne statuant pas en dernière instance à l’appréciation portée en droit par une juridiction de degré supérieur ne saurait, de ce seul fait, les priver de la faculté prévue à l’article 267 TFUE de saisir la Cour des questions d’interprétation du droit de l’Union (voir, en ce sens, arrêts précités </w:t>
      </w:r>
      <w:proofErr w:type="spellStart"/>
      <w:r w:rsidRPr="00F57C6E">
        <w:rPr>
          <w:rFonts w:ascii="Garamond" w:hAnsi="Garamond"/>
        </w:rPr>
        <w:t>Rheinmühlen</w:t>
      </w:r>
      <w:proofErr w:type="spellEnd"/>
      <w:r w:rsidRPr="00F57C6E">
        <w:rPr>
          <w:rFonts w:ascii="Garamond" w:hAnsi="Garamond"/>
        </w:rPr>
        <w:t xml:space="preserve">-Düsseldorf, points 4 et 5, ainsi que </w:t>
      </w:r>
      <w:proofErr w:type="spellStart"/>
      <w:r w:rsidRPr="00F57C6E">
        <w:rPr>
          <w:rFonts w:ascii="Garamond" w:hAnsi="Garamond"/>
        </w:rPr>
        <w:t>Cartesio</w:t>
      </w:r>
      <w:proofErr w:type="spellEnd"/>
      <w:r w:rsidRPr="00F57C6E">
        <w:rPr>
          <w:rFonts w:ascii="Garamond" w:hAnsi="Garamond"/>
        </w:rPr>
        <w:t>, point 94). La juridiction qui ne statue pas en dernière instance doit être libre, notamment si elle considère que l’appréciation en droit faite au degré supérieur pourrait l’amener à rendre un jugement contraire au droit de l’Union, de saisir la Cour des questions qui la préoccupent (arrêt du 9 mars 2010, ERG e.a., C378/08, non encore publié au Recueil, point 32).</w:t>
      </w:r>
    </w:p>
    <w:p w14:paraId="1206E56E" w14:textId="77777777" w:rsidR="00F57C6E" w:rsidRPr="00F57C6E" w:rsidRDefault="00F57C6E" w:rsidP="00F57C6E">
      <w:pPr>
        <w:spacing w:line="276" w:lineRule="auto"/>
        <w:contextualSpacing/>
        <w:jc w:val="both"/>
        <w:rPr>
          <w:rFonts w:ascii="Garamond" w:hAnsi="Garamond"/>
        </w:rPr>
      </w:pPr>
    </w:p>
    <w:p w14:paraId="139A419A" w14:textId="2D9C76EB" w:rsidR="00F57C6E" w:rsidRDefault="00F57C6E" w:rsidP="00F57C6E">
      <w:pPr>
        <w:spacing w:line="276" w:lineRule="auto"/>
        <w:contextualSpacing/>
        <w:jc w:val="both"/>
        <w:rPr>
          <w:rFonts w:ascii="Garamond" w:hAnsi="Garamond"/>
        </w:rPr>
      </w:pPr>
      <w:r w:rsidRPr="00F57C6E">
        <w:rPr>
          <w:rFonts w:ascii="Garamond" w:hAnsi="Garamond"/>
        </w:rPr>
        <w:t xml:space="preserve">43. En deuxième lieu, la Cour a déjà jugé que le juge national chargé d’appliquer, dans le cadre de sa compétence, les dispositions du droit de l’Union a l’obligation d’assurer le plein effet de ces normes en laissant au besoin inappliquée, de sa propre autorité, toute disposition contraire de la législation nationale, même postérieure, sans qu’il ait à demander ou à attendre l’élimination préalable de celle-ci par voie législative ou par tout autre procédé constitutionnel (voir, notamment, arrêts Simmenthal, précité, points 21 et 24; du 20 mars 2003, </w:t>
      </w:r>
      <w:proofErr w:type="spellStart"/>
      <w:r w:rsidRPr="00F57C6E">
        <w:rPr>
          <w:rFonts w:ascii="Garamond" w:hAnsi="Garamond"/>
        </w:rPr>
        <w:t>Kutz</w:t>
      </w:r>
      <w:proofErr w:type="spellEnd"/>
      <w:r w:rsidRPr="00F57C6E">
        <w:rPr>
          <w:rFonts w:ascii="Garamond" w:hAnsi="Garamond"/>
        </w:rPr>
        <w:t xml:space="preserve">-Bauer, C187/00, Rec. p. I2741, point 73; du 3 mai 2005, Berlusconi e.a., C387/02, C391/02 et C403/02, Rec. p. I3565, point 72, ainsi que du 19 novembre 2009, </w:t>
      </w:r>
      <w:proofErr w:type="spellStart"/>
      <w:r w:rsidRPr="00F57C6E">
        <w:rPr>
          <w:rFonts w:ascii="Garamond" w:hAnsi="Garamond"/>
        </w:rPr>
        <w:t>Filipiak</w:t>
      </w:r>
      <w:proofErr w:type="spellEnd"/>
      <w:r w:rsidRPr="00F57C6E">
        <w:rPr>
          <w:rFonts w:ascii="Garamond" w:hAnsi="Garamond"/>
        </w:rPr>
        <w:t>, C314/08, non encore publié au Recueil, point 81).</w:t>
      </w:r>
    </w:p>
    <w:p w14:paraId="668AD38F" w14:textId="77777777" w:rsidR="00F57C6E" w:rsidRPr="00F57C6E" w:rsidRDefault="00F57C6E" w:rsidP="00F57C6E">
      <w:pPr>
        <w:spacing w:line="276" w:lineRule="auto"/>
        <w:contextualSpacing/>
        <w:jc w:val="both"/>
        <w:rPr>
          <w:rFonts w:ascii="Garamond" w:hAnsi="Garamond"/>
        </w:rPr>
      </w:pPr>
    </w:p>
    <w:p w14:paraId="1FD36E17" w14:textId="76E30C02" w:rsidR="00F57C6E" w:rsidRDefault="00F57C6E" w:rsidP="00F57C6E">
      <w:pPr>
        <w:spacing w:line="276" w:lineRule="auto"/>
        <w:contextualSpacing/>
        <w:jc w:val="both"/>
        <w:rPr>
          <w:rFonts w:ascii="Garamond" w:hAnsi="Garamond"/>
        </w:rPr>
      </w:pPr>
      <w:r w:rsidRPr="00F57C6E">
        <w:rPr>
          <w:rFonts w:ascii="Garamond" w:hAnsi="Garamond"/>
        </w:rPr>
        <w:t xml:space="preserve">44. En effet, serait incompatible avec les exigences inhérentes à la nature même du droit de l’Union toute disposition d’un ordre juridique national ou toute pratique, législative, </w:t>
      </w:r>
      <w:r w:rsidRPr="00F57C6E">
        <w:rPr>
          <w:rFonts w:ascii="Garamond" w:hAnsi="Garamond"/>
        </w:rPr>
        <w:lastRenderedPageBreak/>
        <w:t xml:space="preserve">administrative ou judiciaire, qui aurait pour effet de diminuer l’efficacité du droit de l’Union par le fait de refuser au juge compétent pour appliquer ce droit le pouvoir de faire, au moment même de cette application, tout ce qui est nécessaire pour écarter les dispositions législatives nationales formant éventuellement obstacle à la pleine efficacité des normes de l’Union (voir arrêts Simmenthal, précité, point 22, ainsi que du 19 juin 1990, </w:t>
      </w:r>
      <w:proofErr w:type="spellStart"/>
      <w:r w:rsidRPr="00F57C6E">
        <w:rPr>
          <w:rFonts w:ascii="Garamond" w:hAnsi="Garamond"/>
        </w:rPr>
        <w:t>Factortame</w:t>
      </w:r>
      <w:proofErr w:type="spellEnd"/>
      <w:r w:rsidRPr="00F57C6E">
        <w:rPr>
          <w:rFonts w:ascii="Garamond" w:hAnsi="Garamond"/>
        </w:rPr>
        <w:t xml:space="preserve"> e.a., C213/89, Rec. p. I2433, point 20). Tel serait le cas si, dans l’hypothèse d’une contrariété entre une disposition du droit de l’Union et une loi nationale, la solution de ce conflit était réservée à une autorité autre que le juge appelé à assurer l’application du droit de l’Union, investie d’un pouvoir d’appréciation propre, même si l’obstacle en résultant ainsi pour la pleine efficacité de ce droit n’était que temporaire (voir, en ce sens, arrêt Simmenthal, précité, point 23).</w:t>
      </w:r>
    </w:p>
    <w:p w14:paraId="7F509A9D" w14:textId="77777777" w:rsidR="00F57C6E" w:rsidRPr="00F57C6E" w:rsidRDefault="00F57C6E" w:rsidP="00F57C6E">
      <w:pPr>
        <w:spacing w:line="276" w:lineRule="auto"/>
        <w:contextualSpacing/>
        <w:jc w:val="both"/>
        <w:rPr>
          <w:rFonts w:ascii="Garamond" w:hAnsi="Garamond"/>
        </w:rPr>
      </w:pPr>
    </w:p>
    <w:p w14:paraId="0D33243A" w14:textId="52487CD5" w:rsidR="00F57C6E" w:rsidRDefault="00F57C6E" w:rsidP="00F57C6E">
      <w:pPr>
        <w:spacing w:line="276" w:lineRule="auto"/>
        <w:contextualSpacing/>
        <w:jc w:val="both"/>
        <w:rPr>
          <w:rFonts w:ascii="Garamond" w:hAnsi="Garamond"/>
        </w:rPr>
      </w:pPr>
      <w:r w:rsidRPr="00F57C6E">
        <w:rPr>
          <w:rFonts w:ascii="Garamond" w:hAnsi="Garamond"/>
        </w:rPr>
        <w:t xml:space="preserve">45. En dernier lieu, la Cour a jugé qu’une juridiction nationale saisie d’un litige concernant le droit de l’Union, qui considère qu’une disposition nationale est non seulement contraire au droit de l’Union, mais également affectée de vices d’inconstitutionnalité, n’est pas privée de la faculté ou dispensée de l’obligation, prévues à l’article 267 TFUE, de saisir la Cour de justice de questions concernant l’interprétation ou la validité du droit de l’Union du fait que la constatation de l’inconstitutionnalité d’une règle du droit interne est soumise à un recours obligatoire devant la cour constitutionnelle. En effet, l’efficacité du droit de l’Union se trouverait menacée si l’existence d’un recours obligatoire devant la cour constitutionnelle pouvait empêcher le juge national, saisi d’un litige régi par le droit de l’Union, d’exercer la faculté qui lui est attribuée par l’article 267 TFUE de soumettre à la Cour de justice les questions portant sur l’interprétation ou sur la validité du droit de l’Union, afin de lui permettre de juger si une règle nationale est ou non compatible avec </w:t>
      </w:r>
      <w:proofErr w:type="spellStart"/>
      <w:r w:rsidRPr="00F57C6E">
        <w:rPr>
          <w:rFonts w:ascii="Garamond" w:hAnsi="Garamond"/>
        </w:rPr>
        <w:t>celuici</w:t>
      </w:r>
      <w:proofErr w:type="spellEnd"/>
      <w:r w:rsidRPr="00F57C6E">
        <w:rPr>
          <w:rFonts w:ascii="Garamond" w:hAnsi="Garamond"/>
        </w:rPr>
        <w:t xml:space="preserve"> (voir arrêt </w:t>
      </w:r>
      <w:proofErr w:type="spellStart"/>
      <w:r w:rsidRPr="00F57C6E">
        <w:rPr>
          <w:rFonts w:ascii="Garamond" w:hAnsi="Garamond"/>
        </w:rPr>
        <w:t>Mecanarte</w:t>
      </w:r>
      <w:proofErr w:type="spellEnd"/>
      <w:r w:rsidRPr="00F57C6E">
        <w:rPr>
          <w:rFonts w:ascii="Garamond" w:hAnsi="Garamond"/>
        </w:rPr>
        <w:t>, précité, points 39, 45 et 46).</w:t>
      </w:r>
    </w:p>
    <w:p w14:paraId="41E9E4B3" w14:textId="77777777" w:rsidR="00F57C6E" w:rsidRPr="00F57C6E" w:rsidRDefault="00F57C6E" w:rsidP="00F57C6E">
      <w:pPr>
        <w:spacing w:line="276" w:lineRule="auto"/>
        <w:contextualSpacing/>
        <w:jc w:val="both"/>
        <w:rPr>
          <w:rFonts w:ascii="Garamond" w:hAnsi="Garamond"/>
        </w:rPr>
      </w:pPr>
    </w:p>
    <w:p w14:paraId="7E017D90" w14:textId="44F78164" w:rsidR="00F57C6E" w:rsidRDefault="00F57C6E" w:rsidP="00F57C6E">
      <w:pPr>
        <w:spacing w:line="276" w:lineRule="auto"/>
        <w:contextualSpacing/>
        <w:jc w:val="both"/>
        <w:rPr>
          <w:rFonts w:ascii="Garamond" w:hAnsi="Garamond"/>
        </w:rPr>
      </w:pPr>
      <w:r w:rsidRPr="00F57C6E">
        <w:rPr>
          <w:rFonts w:ascii="Garamond" w:hAnsi="Garamond"/>
        </w:rPr>
        <w:t>46. S’agissant des conséquences à tirer de la jurisprudence susmentionnée par rapport à des dispositions nationales telles que celles visées par la première question posée, il convient de relever que la juridiction de renvoi part de la prémisse que, selon ces dispositions, lors de l’examen d’une question de constitutionnalité qui est fondée sur l’incompatibilité de la loi en cause avec le droit de l’Union, le Conseil constitutionnel apprécie également la conformité de cette loi avec le droit de l’Union. Dans ce cas, le juge du fond procédant à la transmission de la question de constitutionnalité ne pourrait, avant cette transmission, ni statuer sur la compatibilité de la loi concernée avec le droit de l’Union ni poser une question préjudicielle à la Cour de justice en rapport avec ladite loi. En outre, dans l’hypothèse où le Conseil constitutionnel jugerait la loi en cause conforme au droit de l’Union, ledit juge du fond ne pourrait pas non plus, postérieurement à la décision rendue par le Conseil constitutionnel qui s’imposerait à toutes les autorités juridictionnelles, saisir la Cour de justice d’une question préjudicielle. Il en serait de même lorsque le moyen tiré de l’inconstitutionnalité d’une disposition législative est soulevé à l’occasion d’une instance devant le Conseil d’État ou la Cour de cassation.</w:t>
      </w:r>
    </w:p>
    <w:p w14:paraId="662BB56A" w14:textId="77777777" w:rsidR="00F57C6E" w:rsidRPr="00F57C6E" w:rsidRDefault="00F57C6E" w:rsidP="00F57C6E">
      <w:pPr>
        <w:spacing w:line="276" w:lineRule="auto"/>
        <w:contextualSpacing/>
        <w:jc w:val="both"/>
        <w:rPr>
          <w:rFonts w:ascii="Garamond" w:hAnsi="Garamond"/>
        </w:rPr>
      </w:pPr>
    </w:p>
    <w:p w14:paraId="1A3AFBDE"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47. Selon cette interprétation, la législation nationale en cause au principal aurait pour conséquence d’empêcher, tant avant la transmission d’une question de constitutionnalité que, le cas échéant, après la décision du Conseil constitutionnel sur cette question, les juridictions des ordres administratif et judiciaire nationales d’exercer leur faculté ou de satisfaire à leur obligation, prévues à l’article 267 TFUE, de saisir la Cour de questions préjudicielles. Force est de constater qu’il découle des principes dégagés par la jurisprudence rappelés aux points 41 à 45 du présent </w:t>
      </w:r>
      <w:r w:rsidRPr="00F57C6E">
        <w:rPr>
          <w:rFonts w:ascii="Garamond" w:hAnsi="Garamond"/>
        </w:rPr>
        <w:lastRenderedPageBreak/>
        <w:t>arrêt que l’article 267 TFUE s’oppose à une législation nationale telle que décrite dans les décisions de renvoi.</w:t>
      </w:r>
    </w:p>
    <w:p w14:paraId="63DD458B" w14:textId="35DB866A" w:rsidR="00F57C6E" w:rsidRDefault="00F57C6E" w:rsidP="00F57C6E">
      <w:pPr>
        <w:spacing w:line="276" w:lineRule="auto"/>
        <w:contextualSpacing/>
        <w:jc w:val="both"/>
        <w:rPr>
          <w:rFonts w:ascii="Garamond" w:hAnsi="Garamond"/>
        </w:rPr>
      </w:pPr>
      <w:r w:rsidRPr="00F57C6E">
        <w:rPr>
          <w:rFonts w:ascii="Garamond" w:hAnsi="Garamond"/>
        </w:rPr>
        <w:t>48. Toutefois, tel que cela ressort des points 33 à 36 du présent arrêt, les gouvernements français et belge ont présenté une interprétation différente de la législation française visée par la première question posée en se fondant, notamment, sur les décisions du Conseil constitutionnel n° 2010-605 DC, du 12 mai 2010, et du Conseil d’État n° 312305, du 14 mai 2010, rendues postérieurement à la transmission des décisions de renvoi de la Cour de cassation à la Cour de justice.</w:t>
      </w:r>
    </w:p>
    <w:p w14:paraId="41C0615B" w14:textId="77777777" w:rsidR="00F57C6E" w:rsidRPr="00F57C6E" w:rsidRDefault="00F57C6E" w:rsidP="00F57C6E">
      <w:pPr>
        <w:spacing w:line="276" w:lineRule="auto"/>
        <w:contextualSpacing/>
        <w:jc w:val="both"/>
        <w:rPr>
          <w:rFonts w:ascii="Garamond" w:hAnsi="Garamond"/>
        </w:rPr>
      </w:pPr>
    </w:p>
    <w:p w14:paraId="3AC1D3CB" w14:textId="0C63B987" w:rsidR="00F57C6E" w:rsidRDefault="00F57C6E" w:rsidP="00F57C6E">
      <w:pPr>
        <w:spacing w:line="276" w:lineRule="auto"/>
        <w:contextualSpacing/>
        <w:jc w:val="both"/>
        <w:rPr>
          <w:rFonts w:ascii="Garamond" w:hAnsi="Garamond"/>
        </w:rPr>
      </w:pPr>
      <w:r w:rsidRPr="00F57C6E">
        <w:rPr>
          <w:rFonts w:ascii="Garamond" w:hAnsi="Garamond"/>
        </w:rPr>
        <w:t>49. À cet égard, il convient de rappeler qu’il incombe à la juridiction de renvoi de déterminer, dans les affaires dont elle est saisie, quelle est l’interprétation correcte du droit national.</w:t>
      </w:r>
    </w:p>
    <w:p w14:paraId="68D11EDF" w14:textId="77777777" w:rsidR="00F57C6E" w:rsidRPr="00F57C6E" w:rsidRDefault="00F57C6E" w:rsidP="00F57C6E">
      <w:pPr>
        <w:spacing w:line="276" w:lineRule="auto"/>
        <w:contextualSpacing/>
        <w:jc w:val="both"/>
        <w:rPr>
          <w:rFonts w:ascii="Garamond" w:hAnsi="Garamond"/>
        </w:rPr>
      </w:pPr>
    </w:p>
    <w:p w14:paraId="38E6D49C" w14:textId="399A3F02" w:rsidR="00F57C6E" w:rsidRDefault="00F57C6E" w:rsidP="00F57C6E">
      <w:pPr>
        <w:spacing w:line="276" w:lineRule="auto"/>
        <w:contextualSpacing/>
        <w:jc w:val="both"/>
        <w:rPr>
          <w:rFonts w:ascii="Garamond" w:hAnsi="Garamond"/>
        </w:rPr>
      </w:pPr>
      <w:r w:rsidRPr="00F57C6E">
        <w:rPr>
          <w:rFonts w:ascii="Garamond" w:hAnsi="Garamond"/>
        </w:rPr>
        <w:t xml:space="preserve">50. En vertu d’une jurisprudence constante, il appartient à la juridiction nationale de donner à la loi interne qu’elle doit appliquer, dans toute la mesure du possible, une interprétation conforme aux exigences du droit de l’Union (arrêts du 26 septembre 2000, </w:t>
      </w:r>
      <w:proofErr w:type="spellStart"/>
      <w:r w:rsidRPr="00F57C6E">
        <w:rPr>
          <w:rFonts w:ascii="Garamond" w:hAnsi="Garamond"/>
        </w:rPr>
        <w:t>Engelbrecht</w:t>
      </w:r>
      <w:proofErr w:type="spellEnd"/>
      <w:r w:rsidRPr="00F57C6E">
        <w:rPr>
          <w:rFonts w:ascii="Garamond" w:hAnsi="Garamond"/>
        </w:rPr>
        <w:t xml:space="preserve">, C262/97, </w:t>
      </w:r>
      <w:proofErr w:type="spellStart"/>
      <w:r w:rsidRPr="00F57C6E">
        <w:rPr>
          <w:rFonts w:ascii="Garamond" w:hAnsi="Garamond"/>
        </w:rPr>
        <w:t>Rec.p</w:t>
      </w:r>
      <w:proofErr w:type="spellEnd"/>
      <w:r w:rsidRPr="00F57C6E">
        <w:rPr>
          <w:rFonts w:ascii="Garamond" w:hAnsi="Garamond"/>
        </w:rPr>
        <w:t>. I7321, point 39; du 27 octobre 2009, ČEZ, C115/08, non encore publié au Recueil, point 138, et du 13 avril 2010, Wall C91/08, non encore publié au Recueil, point 70). Eu égard aux décisions susmentionnées du Conseil constitutionnel et du Conseil d’État, une telle interprétation des dispositions nationales qui ont institué le mécanisme de contrôle de constitutionnalité en cause au principal ne saurait être exclue.</w:t>
      </w:r>
    </w:p>
    <w:p w14:paraId="6D6FFC13" w14:textId="77777777" w:rsidR="00F57C6E" w:rsidRPr="00F57C6E" w:rsidRDefault="00F57C6E" w:rsidP="00F57C6E">
      <w:pPr>
        <w:spacing w:line="276" w:lineRule="auto"/>
        <w:contextualSpacing/>
        <w:jc w:val="both"/>
        <w:rPr>
          <w:rFonts w:ascii="Garamond" w:hAnsi="Garamond"/>
        </w:rPr>
      </w:pPr>
    </w:p>
    <w:p w14:paraId="0A77318D" w14:textId="7C26689F" w:rsidR="00F57C6E" w:rsidRDefault="00F57C6E" w:rsidP="00F57C6E">
      <w:pPr>
        <w:spacing w:line="276" w:lineRule="auto"/>
        <w:contextualSpacing/>
        <w:jc w:val="both"/>
        <w:rPr>
          <w:rFonts w:ascii="Garamond" w:hAnsi="Garamond"/>
        </w:rPr>
      </w:pPr>
      <w:r w:rsidRPr="00F57C6E">
        <w:rPr>
          <w:rFonts w:ascii="Garamond" w:hAnsi="Garamond"/>
        </w:rPr>
        <w:t>51. L’examen de la question de savoir si une interprétation conforme aux exigences du droit de l’Union du mécanisme de la question prioritaire de constitutionnalité est possible ne saurait remettre en cause les caractéristiques essentielles du système de coopération entre la Cour de justice et les juridictions nationales instauré par l’article 267 TFUE telles qu’elles découlent de la jurisprudence rappelée aux points 41 à 45 du présent arrêt.</w:t>
      </w:r>
    </w:p>
    <w:p w14:paraId="6888A88D" w14:textId="77777777" w:rsidR="00F57C6E" w:rsidRPr="00F57C6E" w:rsidRDefault="00F57C6E" w:rsidP="00F57C6E">
      <w:pPr>
        <w:spacing w:line="276" w:lineRule="auto"/>
        <w:contextualSpacing/>
        <w:jc w:val="both"/>
        <w:rPr>
          <w:rFonts w:ascii="Garamond" w:hAnsi="Garamond"/>
        </w:rPr>
      </w:pPr>
    </w:p>
    <w:p w14:paraId="19B4AFA3" w14:textId="5DB70EC0" w:rsidR="00F57C6E" w:rsidRDefault="00F57C6E" w:rsidP="00F57C6E">
      <w:pPr>
        <w:spacing w:line="276" w:lineRule="auto"/>
        <w:contextualSpacing/>
        <w:jc w:val="both"/>
        <w:rPr>
          <w:rFonts w:ascii="Garamond" w:hAnsi="Garamond"/>
        </w:rPr>
      </w:pPr>
      <w:r w:rsidRPr="00F57C6E">
        <w:rPr>
          <w:rFonts w:ascii="Garamond" w:hAnsi="Garamond"/>
        </w:rPr>
        <w:t>52. En effet, selon la jurisprudence constante de la Cour, afin d’assurer la primauté du droit de l’Union, le fonctionnement dudit système de coopération nécessite que le juge national soit libre de saisir, à tout moment de la procédure qu’il juge approprié, et même à l’issue d’une procédure incidente de contrôle de constitutionnalité, la Cour de justice de toute question préjudicielle qu’il juge nécessaire.</w:t>
      </w:r>
    </w:p>
    <w:p w14:paraId="52BDBA4F" w14:textId="77777777" w:rsidR="00F57C6E" w:rsidRPr="00F57C6E" w:rsidRDefault="00F57C6E" w:rsidP="00F57C6E">
      <w:pPr>
        <w:spacing w:line="276" w:lineRule="auto"/>
        <w:contextualSpacing/>
        <w:jc w:val="both"/>
        <w:rPr>
          <w:rFonts w:ascii="Garamond" w:hAnsi="Garamond"/>
        </w:rPr>
      </w:pPr>
    </w:p>
    <w:p w14:paraId="43C2C9A5" w14:textId="53A14B61" w:rsidR="00F57C6E" w:rsidRDefault="00F57C6E" w:rsidP="00F57C6E">
      <w:pPr>
        <w:spacing w:line="276" w:lineRule="auto"/>
        <w:contextualSpacing/>
        <w:jc w:val="both"/>
        <w:rPr>
          <w:rFonts w:ascii="Garamond" w:hAnsi="Garamond"/>
        </w:rPr>
      </w:pPr>
      <w:r w:rsidRPr="00F57C6E">
        <w:rPr>
          <w:rFonts w:ascii="Garamond" w:hAnsi="Garamond"/>
        </w:rPr>
        <w:t>53. Dans la mesure où le droit national prévoit l’obligation de déclencher une procédure incidente de contrôle de constitutionnalité qui empêcherait le juge national de laisser immédiatement inappliquée une disposition législative nationale qu’il estime contraire au droit de l’Union, le fonctionnement du système instauré par l’article 267 TFUE exige néanmoins que ledit juge soit libre, d’une part, d’adopter toute mesure nécessaire afin d’assurer la protection juridictionnelle provisoire des droits conférés par l’ordre juridique de l’Union et, d’autre part, de laisser inappliquée, à l’issue d’une telle procédure incidente, ladite disposition législative nationale s’il la juge contraire au droit de l’Union.</w:t>
      </w:r>
    </w:p>
    <w:p w14:paraId="6DD5AA8B" w14:textId="77777777" w:rsidR="00F57C6E" w:rsidRPr="00F57C6E" w:rsidRDefault="00F57C6E" w:rsidP="00F57C6E">
      <w:pPr>
        <w:spacing w:line="276" w:lineRule="auto"/>
        <w:contextualSpacing/>
        <w:jc w:val="both"/>
        <w:rPr>
          <w:rFonts w:ascii="Garamond" w:hAnsi="Garamond"/>
        </w:rPr>
      </w:pPr>
    </w:p>
    <w:p w14:paraId="22BE9915" w14:textId="38FC7C53" w:rsidR="00F57C6E" w:rsidRDefault="00F57C6E" w:rsidP="00F57C6E">
      <w:pPr>
        <w:spacing w:line="276" w:lineRule="auto"/>
        <w:contextualSpacing/>
        <w:jc w:val="both"/>
        <w:rPr>
          <w:rFonts w:ascii="Garamond" w:hAnsi="Garamond"/>
        </w:rPr>
      </w:pPr>
      <w:r w:rsidRPr="00F57C6E">
        <w:rPr>
          <w:rFonts w:ascii="Garamond" w:hAnsi="Garamond"/>
        </w:rPr>
        <w:t xml:space="preserve">54. Il convient, par ailleurs, de souligner que le caractère prioritaire d’une procédure incidente de contrôle de constitutionnalité d’une loi nationale dont le contenu se limite à transposer les dispositions impératives d’une directive de l’Union ne saurait porter atteinte à la compétence de la seule Cour de justice de constater l’invalidité d’un acte de l’Union, et notamment d’une </w:t>
      </w:r>
      <w:r w:rsidRPr="00F57C6E">
        <w:rPr>
          <w:rFonts w:ascii="Garamond" w:hAnsi="Garamond"/>
        </w:rPr>
        <w:lastRenderedPageBreak/>
        <w:t xml:space="preserve">directive, compétence ayant pour objet de garantir la sécurité juridique en assurant l’application uniforme du droit de l’Union (voir, en ce sens, arrêts du 22 octobre 1987, </w:t>
      </w:r>
      <w:proofErr w:type="spellStart"/>
      <w:r w:rsidRPr="00F57C6E">
        <w:rPr>
          <w:rFonts w:ascii="Garamond" w:hAnsi="Garamond"/>
        </w:rPr>
        <w:t>Foto</w:t>
      </w:r>
      <w:proofErr w:type="spellEnd"/>
      <w:r w:rsidRPr="00F57C6E">
        <w:rPr>
          <w:rFonts w:ascii="Garamond" w:hAnsi="Garamond"/>
        </w:rPr>
        <w:t>- Frost, 314/85, Rec. p. 4199, points 15 à 20; du 10 janvier 2006, IATA et ELFAA, C344/04, Rec. p. I403, point 27, ainsi que du 18 juillet 2007, Lucchini, C119/05, Rec. p. I6199, point 53).</w:t>
      </w:r>
    </w:p>
    <w:p w14:paraId="493A504C" w14:textId="77777777" w:rsidR="00F57C6E" w:rsidRPr="00F57C6E" w:rsidRDefault="00F57C6E" w:rsidP="00F57C6E">
      <w:pPr>
        <w:spacing w:line="276" w:lineRule="auto"/>
        <w:contextualSpacing/>
        <w:jc w:val="both"/>
        <w:rPr>
          <w:rFonts w:ascii="Garamond" w:hAnsi="Garamond"/>
        </w:rPr>
      </w:pPr>
    </w:p>
    <w:p w14:paraId="050381D1" w14:textId="5D274CC6" w:rsidR="00F57C6E" w:rsidRDefault="00F57C6E" w:rsidP="00F57C6E">
      <w:pPr>
        <w:spacing w:line="276" w:lineRule="auto"/>
        <w:contextualSpacing/>
        <w:jc w:val="both"/>
        <w:rPr>
          <w:rFonts w:ascii="Garamond" w:hAnsi="Garamond"/>
        </w:rPr>
      </w:pPr>
      <w:r w:rsidRPr="00F57C6E">
        <w:rPr>
          <w:rFonts w:ascii="Garamond" w:hAnsi="Garamond"/>
        </w:rPr>
        <w:t>55. En effet, pour autant que le caractère prioritaire d’une procédure incidente de contrôle de constitutionnalité aboutit à l’abrogation d’une loi nationale se limitant à transposer les dispositions impératives d’une directive de l’Union en raison de la contrariété de cette loi à la Constitution nationale, la Cour pourrait, en pratique, être privée de la possibilité de procéder, à la demande des juridictions du fond de l’État membre concerné, au contrôle de la validité de ladite directive par rapport aux mêmes motifs relatifs aux exigences du droit primaire, et notamment des droits reconnus par la charte des droits fondamentaux de l’Union européenne, à laquelle l’article 6 TUE confère la même valeur juridique que celle qui est reconnue aux traités.</w:t>
      </w:r>
    </w:p>
    <w:p w14:paraId="47B9279D" w14:textId="77777777" w:rsidR="00F57C6E" w:rsidRPr="00F57C6E" w:rsidRDefault="00F57C6E" w:rsidP="00F57C6E">
      <w:pPr>
        <w:spacing w:line="276" w:lineRule="auto"/>
        <w:contextualSpacing/>
        <w:jc w:val="both"/>
        <w:rPr>
          <w:rFonts w:ascii="Garamond" w:hAnsi="Garamond"/>
        </w:rPr>
      </w:pPr>
    </w:p>
    <w:p w14:paraId="7297D177" w14:textId="25318A27" w:rsidR="00F57C6E" w:rsidRDefault="00F57C6E" w:rsidP="00F57C6E">
      <w:pPr>
        <w:spacing w:line="276" w:lineRule="auto"/>
        <w:contextualSpacing/>
        <w:jc w:val="both"/>
        <w:rPr>
          <w:rFonts w:ascii="Garamond" w:hAnsi="Garamond"/>
        </w:rPr>
      </w:pPr>
      <w:r w:rsidRPr="00F57C6E">
        <w:rPr>
          <w:rFonts w:ascii="Garamond" w:hAnsi="Garamond"/>
        </w:rPr>
        <w:t>56. Avant que le contrôle incident de constitutionnalité d’une loi dont le contenu se limite à transposer les dispositions impératives d’une directive de l’Union puisse s’effectuer par rapport aux mêmes motifs mettant en cause la validité de la directive, les juridictions nationales, dont les décisions ne sont pas susceptibles d’un recours juridictionnel de droit interne, sont, en principe, tenues, en vertu de l’article 267, troisième alinéa, TFUE, d’interroger la Cour de justice sur la validité de cette directive et, par la suite, de tirer les conséquences qui découlent de l’arrêt rendu par la Cour à titre préjudiciel, à moins que la juridiction déclenchant le contrôle incident de constitutionnalité n’ait elle-même saisi la Cour de justice de cette question sur la base du deuxième alinéa dudit article. En effet, s’agissant d’une loi nationale de transposition d’un tel contenu, la question de savoir si la directive est valide revêt, eu égard à l’obligation de transposition de celle-ci, un caractère préalable. En outre, l’encadrement dans un délai strict de la durée d’examen par les juridictions nationales ne saurait faire échec au renvoi préjudiciel relatif à la validité de la directive en cause.</w:t>
      </w:r>
    </w:p>
    <w:p w14:paraId="788DC505" w14:textId="77777777" w:rsidR="00F57C6E" w:rsidRPr="00F57C6E" w:rsidRDefault="00F57C6E" w:rsidP="00F57C6E">
      <w:pPr>
        <w:spacing w:line="276" w:lineRule="auto"/>
        <w:contextualSpacing/>
        <w:jc w:val="both"/>
        <w:rPr>
          <w:rFonts w:ascii="Garamond" w:hAnsi="Garamond"/>
        </w:rPr>
      </w:pPr>
    </w:p>
    <w:p w14:paraId="454BB851" w14:textId="71CC3C43" w:rsidR="00F57C6E" w:rsidRPr="00F57C6E" w:rsidRDefault="00F57C6E" w:rsidP="00F57C6E">
      <w:pPr>
        <w:spacing w:line="276" w:lineRule="auto"/>
        <w:contextualSpacing/>
        <w:jc w:val="both"/>
        <w:rPr>
          <w:rFonts w:ascii="Garamond" w:hAnsi="Garamond"/>
        </w:rPr>
      </w:pPr>
      <w:r w:rsidRPr="00F57C6E">
        <w:rPr>
          <w:rFonts w:ascii="Garamond" w:hAnsi="Garamond"/>
        </w:rPr>
        <w:t>57. Par voie de conséquence, il y a lieu de répondre à la première question posée que l’article 267 TFUE s’oppose à une législation d’un État membre qui instaure une procédure incidente de contrôle de constitutionnalité des lois nationales, pour autant que le caractère prioritaire de cette procédure a pour conséquence d’empêcher, tant avant la transmission d’une question de constitutionnalité à la juridiction nationale chargée d’exercer le contrôle de constitutionnalité des lois que, le cas échéant, après la décision de cette juridiction sur ladite question, toutes les autres juridictions nationales d’exercer leur faculté ou de satisfaire à leur obligation de saisir la Cour de questions préjudicielles. En revanche, l’article 267 TFUE ne s’oppose pas à une telle législation nationale, pour autant que les autres juridictions nationales restent libres</w:t>
      </w:r>
      <w:r>
        <w:rPr>
          <w:rFonts w:ascii="Garamond" w:hAnsi="Garamond"/>
        </w:rPr>
        <w:t xml:space="preserve"> </w:t>
      </w:r>
      <w:r w:rsidRPr="00F57C6E">
        <w:rPr>
          <w:rFonts w:ascii="Garamond" w:hAnsi="Garamond"/>
        </w:rPr>
        <w:t>:</w:t>
      </w:r>
    </w:p>
    <w:p w14:paraId="04EADF75"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De saisir à tout moment de la procédure qu’elles jugent approprié, et même à l’issue de la procédure incidente de contrôle de constitutionnalité, la Cour de toute question préjudicielle qu’elles jugent nécessaire, </w:t>
      </w:r>
    </w:p>
    <w:p w14:paraId="418B51C9"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xml:space="preserve">- d’adopter toute mesure nécessaire afin d’assurer la protection juridictionnelle provisoire des droits conférés par l’ordre juridique de l’Union, </w:t>
      </w:r>
    </w:p>
    <w:p w14:paraId="18CD7466" w14:textId="77777777" w:rsidR="00F57C6E" w:rsidRPr="00F57C6E" w:rsidRDefault="00F57C6E" w:rsidP="00F57C6E">
      <w:pPr>
        <w:spacing w:line="276" w:lineRule="auto"/>
        <w:contextualSpacing/>
        <w:jc w:val="both"/>
        <w:rPr>
          <w:rFonts w:ascii="Garamond" w:hAnsi="Garamond"/>
        </w:rPr>
      </w:pPr>
      <w:r w:rsidRPr="00F57C6E">
        <w:rPr>
          <w:rFonts w:ascii="Garamond" w:hAnsi="Garamond"/>
        </w:rPr>
        <w:t>- et de laisser inappliquée, à l’issue d’une telle procédure incidente, la disposition législative nationale en cause si elles la jugent contraire au droit de l’Union.</w:t>
      </w:r>
    </w:p>
    <w:p w14:paraId="31BAE769" w14:textId="1CF72182" w:rsidR="00F57C6E" w:rsidRPr="00F57C6E" w:rsidRDefault="00F57C6E" w:rsidP="00F57C6E">
      <w:pPr>
        <w:spacing w:line="276" w:lineRule="auto"/>
        <w:contextualSpacing/>
        <w:jc w:val="both"/>
        <w:rPr>
          <w:rFonts w:ascii="Garamond" w:hAnsi="Garamond"/>
        </w:rPr>
      </w:pPr>
      <w:r w:rsidRPr="00F57C6E">
        <w:rPr>
          <w:rFonts w:ascii="Garamond" w:hAnsi="Garamond"/>
        </w:rPr>
        <w:t>Il appartient à la juridiction de renvoi de vérifier si la législation nationale en cause au principal peut être interprétée conformément à ces exigences du droit de l’Union. (…).</w:t>
      </w:r>
    </w:p>
    <w:p w14:paraId="0FA1C767" w14:textId="4C6B6128" w:rsidR="00F57C6E" w:rsidRDefault="00F57C6E" w:rsidP="00C33620">
      <w:pPr>
        <w:spacing w:line="276" w:lineRule="auto"/>
        <w:contextualSpacing/>
        <w:rPr>
          <w:rFonts w:ascii="Garamond" w:hAnsi="Garamond"/>
          <w:b/>
          <w:bCs/>
        </w:rPr>
      </w:pPr>
    </w:p>
    <w:p w14:paraId="43BA3B97" w14:textId="3D3B29EF" w:rsidR="00C33620" w:rsidRDefault="00F57C6E" w:rsidP="00F57C6E">
      <w:pPr>
        <w:tabs>
          <w:tab w:val="left" w:pos="851"/>
        </w:tabs>
        <w:spacing w:line="276" w:lineRule="auto"/>
        <w:contextualSpacing/>
        <w:jc w:val="both"/>
        <w:rPr>
          <w:rFonts w:ascii="Garamond" w:hAnsi="Garamond"/>
        </w:rPr>
      </w:pPr>
      <w:r>
        <w:rPr>
          <w:rFonts w:ascii="Garamond" w:hAnsi="Garamond"/>
        </w:rPr>
        <w:t>[…]</w:t>
      </w:r>
    </w:p>
    <w:p w14:paraId="4E984752" w14:textId="37FC2A7B" w:rsidR="007B6C9F" w:rsidRDefault="007B6C9F" w:rsidP="007B6C9F">
      <w:pPr>
        <w:tabs>
          <w:tab w:val="left" w:pos="851"/>
        </w:tabs>
        <w:spacing w:line="276" w:lineRule="auto"/>
        <w:contextualSpacing/>
        <w:jc w:val="both"/>
        <w:rPr>
          <w:rFonts w:ascii="Garamond" w:hAnsi="Garamond"/>
        </w:rPr>
      </w:pPr>
      <w:r w:rsidRPr="009A2754">
        <w:rPr>
          <w:rFonts w:ascii="Garamond" w:hAnsi="Garamond"/>
          <w:b/>
          <w:bCs/>
        </w:rPr>
        <w:t xml:space="preserve">DOCUMENT </w:t>
      </w:r>
      <w:r>
        <w:rPr>
          <w:rFonts w:ascii="Garamond" w:hAnsi="Garamond"/>
          <w:b/>
          <w:bCs/>
        </w:rPr>
        <w:t>9</w:t>
      </w:r>
      <w:r w:rsidRPr="009A2754">
        <w:rPr>
          <w:rFonts w:ascii="Garamond" w:hAnsi="Garamond"/>
          <w:b/>
          <w:bCs/>
        </w:rPr>
        <w:t> :</w:t>
      </w:r>
      <w:r>
        <w:rPr>
          <w:rFonts w:ascii="Garamond" w:hAnsi="Garamond"/>
        </w:rPr>
        <w:t xml:space="preserve"> </w:t>
      </w:r>
      <w:r w:rsidRPr="009A2754">
        <w:rPr>
          <w:rFonts w:ascii="Garamond" w:hAnsi="Garamond"/>
        </w:rPr>
        <w:t>C</w:t>
      </w:r>
      <w:r>
        <w:rPr>
          <w:rFonts w:ascii="Garamond" w:hAnsi="Garamond"/>
        </w:rPr>
        <w:t>onseil d’État</w:t>
      </w:r>
      <w:r w:rsidRPr="009A2754">
        <w:rPr>
          <w:rFonts w:ascii="Garamond" w:hAnsi="Garamond"/>
        </w:rPr>
        <w:t xml:space="preserve">, </w:t>
      </w:r>
      <w:r w:rsidRPr="002D09F1">
        <w:rPr>
          <w:rFonts w:ascii="Garamond" w:hAnsi="Garamond"/>
        </w:rPr>
        <w:t xml:space="preserve">6 décembre 2012, </w:t>
      </w:r>
      <w:r w:rsidRPr="002D09F1">
        <w:rPr>
          <w:rFonts w:ascii="Garamond" w:hAnsi="Garamond"/>
          <w:i/>
          <w:iCs/>
        </w:rPr>
        <w:t>Société Air Algérie</w:t>
      </w:r>
      <w:r>
        <w:rPr>
          <w:rFonts w:ascii="Garamond" w:hAnsi="Garamond"/>
        </w:rPr>
        <w:t>.</w:t>
      </w:r>
    </w:p>
    <w:p w14:paraId="42F4FB11" w14:textId="77777777" w:rsidR="007B6C9F" w:rsidRDefault="007B6C9F" w:rsidP="007B6C9F">
      <w:pPr>
        <w:tabs>
          <w:tab w:val="left" w:pos="851"/>
        </w:tabs>
        <w:spacing w:line="276" w:lineRule="auto"/>
        <w:contextualSpacing/>
        <w:jc w:val="lowKashida"/>
        <w:rPr>
          <w:rFonts w:ascii="Garamond" w:hAnsi="Garamond" w:cstheme="majorBidi"/>
        </w:rPr>
      </w:pPr>
    </w:p>
    <w:p w14:paraId="4B5092B1" w14:textId="77777777" w:rsidR="007B6C9F" w:rsidRPr="00F57C6E" w:rsidRDefault="007B6C9F" w:rsidP="007B6C9F">
      <w:pPr>
        <w:tabs>
          <w:tab w:val="left" w:pos="851"/>
        </w:tabs>
        <w:spacing w:line="276" w:lineRule="auto"/>
        <w:contextualSpacing/>
        <w:jc w:val="both"/>
        <w:rPr>
          <w:rFonts w:ascii="Garamond" w:hAnsi="Garamond"/>
        </w:rPr>
      </w:pPr>
      <w:r>
        <w:rPr>
          <w:rFonts w:ascii="Garamond" w:hAnsi="Garamond"/>
        </w:rPr>
        <w:t>[…]</w:t>
      </w:r>
    </w:p>
    <w:p w14:paraId="6D187022" w14:textId="77777777" w:rsidR="007B6C9F" w:rsidRDefault="007B6C9F" w:rsidP="007B6C9F">
      <w:pPr>
        <w:tabs>
          <w:tab w:val="left" w:pos="851"/>
        </w:tabs>
        <w:spacing w:line="276" w:lineRule="auto"/>
        <w:contextualSpacing/>
        <w:jc w:val="lowKashida"/>
        <w:rPr>
          <w:rFonts w:ascii="Garamond" w:hAnsi="Garamond" w:cstheme="majorBidi"/>
        </w:rPr>
      </w:pPr>
    </w:p>
    <w:p w14:paraId="5D92AE67" w14:textId="77777777" w:rsidR="007B6C9F" w:rsidRPr="00F57C6E"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En ce qui concerne la méconnaissance de principes généraux du droit de l’Union européenne :</w:t>
      </w:r>
    </w:p>
    <w:p w14:paraId="5F398E8A"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3E1E3E44"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32.</w:t>
      </w:r>
      <w:r>
        <w:rPr>
          <w:rFonts w:ascii="Garamond" w:hAnsi="Garamond" w:cstheme="majorBidi"/>
        </w:rPr>
        <w:t xml:space="preserve"> </w:t>
      </w:r>
      <w:r w:rsidRPr="00F57C6E">
        <w:rPr>
          <w:rFonts w:ascii="Garamond" w:hAnsi="Garamond" w:cstheme="majorBidi"/>
        </w:rPr>
        <w:t>Considérant que la société Air Algérie soutient que la directive 2008/101/CE et les actes qui la transposent méconnaissent plusieurs des principes généraux du droit de l’Union européenne ; qu’elle se prévaut, en particulier, de la méconnaissance des principes de confiance légitime, d’égalité, de libre concurrence et de proportionnalité ;</w:t>
      </w:r>
    </w:p>
    <w:p w14:paraId="29479364"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39EE3141"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33.</w:t>
      </w:r>
      <w:r>
        <w:rPr>
          <w:rFonts w:ascii="Garamond" w:hAnsi="Garamond" w:cstheme="majorBidi"/>
        </w:rPr>
        <w:t xml:space="preserve"> </w:t>
      </w:r>
      <w:r w:rsidRPr="00F57C6E">
        <w:rPr>
          <w:rFonts w:ascii="Garamond" w:hAnsi="Garamond" w:cstheme="majorBidi"/>
        </w:rPr>
        <w:t>Considérant qu’il appartient au juge administratif, saisi d’un moyen tiré de la méconnaissance par une directive de principes généraux du droit de l’Union européenne, de rechercher si la directive est conforme à ces principes ; qu’il lui revient, en l’absence de doute sérieux sur la validité de la directive, d’écarter le moyen invoqué, ou, dans le cas contraire, de saisir la Cour de justice de l’Union européenne d’une question préjudicielle afin qu’elle se prononce sur la validité de la directive ;</w:t>
      </w:r>
    </w:p>
    <w:p w14:paraId="01E460DC"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31648E05"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34.</w:t>
      </w:r>
      <w:r>
        <w:rPr>
          <w:rFonts w:ascii="Garamond" w:hAnsi="Garamond" w:cstheme="majorBidi"/>
        </w:rPr>
        <w:t xml:space="preserve"> </w:t>
      </w:r>
      <w:r w:rsidRPr="00F57C6E">
        <w:rPr>
          <w:rFonts w:ascii="Garamond" w:hAnsi="Garamond" w:cstheme="majorBidi"/>
        </w:rPr>
        <w:t>Considérant, en premier lieu, que, dans sa communication du 27 septembre 2005 relative à la réduction de l’impact de l’aviation sur le changement climatique, la Commission européenne a préconisé l’intégration de l’aviation au système d’échange de quotas d’émissions de gaz à effet de serre ; que le Conseil européen des 15 et 16 décembre 2005 s’est déclaré favorable à cette solution et s’est félicité que la Commission ait l’intention de présenter, avant la fin de 2006, une proposition législative en ce sens ; que la Commission a rendu publique sa proposition de directive le 29 novembre 2006 ; que la directive 2008/101/CE a été adoptée le 19 novembre 2008 ; que celle-ci a prévu que les obligations pesant sur le secteur aérien entreraient en vigueur le 1er janvier 2012 ; qu’au regard de la procédure suivie pour adopter la directive 2008/101/CE et à la date d’entrée en vigueur des obligations qu’elle fixe pour le secteur aérien, la société Air Algérie ne peut sérieusement soutenir que les institutions de l’Union européenne auraient fait naître chez...; que, par suite, le moyen tiré de ce que la directive 2008/101/CE méconnaîtrait le principe de confiance légitime doit être écarté ;</w:t>
      </w:r>
    </w:p>
    <w:p w14:paraId="79A93533"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6B6ADF22"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35.</w:t>
      </w:r>
      <w:r>
        <w:rPr>
          <w:rFonts w:ascii="Garamond" w:hAnsi="Garamond" w:cstheme="majorBidi"/>
        </w:rPr>
        <w:t xml:space="preserve"> </w:t>
      </w:r>
      <w:r w:rsidRPr="00F57C6E">
        <w:rPr>
          <w:rFonts w:ascii="Garamond" w:hAnsi="Garamond" w:cstheme="majorBidi"/>
        </w:rPr>
        <w:t>Considérant, en deuxième lieu, que contrairement à ce qui est soutenu, la directive 2008/101/CE n’institue pas de différence de traitement entre les compagnies aériennes placées dans une situation comparable, toutes les compagnies qui assurent des vols au départ ou à destination de l’Union européenne étant soumises au même traitement ; que la circonstance que la directive pèse davantage sur les compagnies qui exercent l’essentiel de leur activité sur le territoire de l’Union européenne ne saurait être regardée comme l’institution d’une différence de traitement de situations comparables ; que, par suite, le moyen tiré de ce que la directive méconnaîtrait le principe d’égalité ou porterait atteinte à la libre concurrence doit être écarté ;</w:t>
      </w:r>
    </w:p>
    <w:p w14:paraId="7DFF140F"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3DB17544"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36.</w:t>
      </w:r>
      <w:r>
        <w:rPr>
          <w:rFonts w:ascii="Garamond" w:hAnsi="Garamond" w:cstheme="majorBidi"/>
        </w:rPr>
        <w:t xml:space="preserve"> </w:t>
      </w:r>
      <w:r w:rsidRPr="00F57C6E">
        <w:rPr>
          <w:rFonts w:ascii="Garamond" w:hAnsi="Garamond" w:cstheme="majorBidi"/>
        </w:rPr>
        <w:t xml:space="preserve">Considérant, enfin, que le principe de proportionnalité figurant au nombre des principes généraux du droit de l’Union européenne et affirmé par l’article 5 du traité sur l’Union européenne exige que les moyens mis en </w:t>
      </w:r>
      <w:proofErr w:type="spellStart"/>
      <w:r w:rsidRPr="00F57C6E">
        <w:rPr>
          <w:rFonts w:ascii="Garamond" w:hAnsi="Garamond" w:cstheme="majorBidi"/>
        </w:rPr>
        <w:t>oeuvre</w:t>
      </w:r>
      <w:proofErr w:type="spellEnd"/>
      <w:r w:rsidRPr="00F57C6E">
        <w:rPr>
          <w:rFonts w:ascii="Garamond" w:hAnsi="Garamond" w:cstheme="majorBidi"/>
        </w:rPr>
        <w:t xml:space="preserve"> par une disposition du droit de l’Union soient </w:t>
      </w:r>
      <w:r w:rsidRPr="00F57C6E">
        <w:rPr>
          <w:rFonts w:ascii="Garamond" w:hAnsi="Garamond" w:cstheme="majorBidi"/>
        </w:rPr>
        <w:lastRenderedPageBreak/>
        <w:t>aptes à réaliser les objectifs légitimes poursuivis par la réglementation concernée et n’aillent pas au-delà de ce qui est nécessaire pour les atteindre ; qu’il n’appartient pas au juge chargé d’apprécier le respect de ce principe de déterminer si la mesure arrêtée dans tel domaine était la seule ou la meilleure possible, seul le caractère manifestement inapproprié de celle-ci par rapport à l’objectif que les institutions compétentes entendent poursuivre pouvant affecter la légalité de cette mesure ; qu’en l’espèce, la société Air Algérie n’est pas fondée à soutenir que l’inclusion du secteur aérien dans le système d’échange de quotas d’émission de gaz à effet de serre selon les modalités définies par la directive va manifestement au-delà de ce qui est nécessaire pour atteindre l’objectif de protection de l’environnement poursuivi ; que, par suite, doit être écarté le moyen tiré de ce que la directive 2008/101/CE méconnaîtrait le principe de proportionnalité ;</w:t>
      </w:r>
    </w:p>
    <w:p w14:paraId="5BEC883E" w14:textId="77777777" w:rsidR="007B6C9F" w:rsidRPr="00F57C6E" w:rsidRDefault="007B6C9F" w:rsidP="007B6C9F">
      <w:pPr>
        <w:tabs>
          <w:tab w:val="left" w:pos="851"/>
        </w:tabs>
        <w:spacing w:line="276" w:lineRule="auto"/>
        <w:contextualSpacing/>
        <w:jc w:val="lowKashida"/>
        <w:rPr>
          <w:rFonts w:ascii="Garamond" w:hAnsi="Garamond" w:cstheme="majorBidi"/>
        </w:rPr>
      </w:pPr>
    </w:p>
    <w:p w14:paraId="1C33AADC" w14:textId="77777777" w:rsidR="007B6C9F" w:rsidRDefault="007B6C9F" w:rsidP="007B6C9F">
      <w:pPr>
        <w:tabs>
          <w:tab w:val="left" w:pos="851"/>
        </w:tabs>
        <w:spacing w:line="276" w:lineRule="auto"/>
        <w:contextualSpacing/>
        <w:jc w:val="lowKashida"/>
        <w:rPr>
          <w:rFonts w:ascii="Garamond" w:hAnsi="Garamond" w:cstheme="majorBidi"/>
        </w:rPr>
      </w:pPr>
      <w:r w:rsidRPr="00F57C6E">
        <w:rPr>
          <w:rFonts w:ascii="Garamond" w:hAnsi="Garamond" w:cstheme="majorBidi"/>
        </w:rPr>
        <w:t>37.</w:t>
      </w:r>
      <w:r>
        <w:rPr>
          <w:rFonts w:ascii="Garamond" w:hAnsi="Garamond" w:cstheme="majorBidi"/>
        </w:rPr>
        <w:t xml:space="preserve"> </w:t>
      </w:r>
      <w:r w:rsidRPr="00F57C6E">
        <w:rPr>
          <w:rFonts w:ascii="Garamond" w:hAnsi="Garamond" w:cstheme="majorBidi"/>
        </w:rPr>
        <w:t>Considérant qu’il résulte de ce qui précède, et sans qu’il soit besoin de saisir la Cour de justice de l’Union européenne d’une question préjudicielle, que les moyens mettant en cause la validité de la directive 2008/101/CE au regard des principes généraux du droit de l’Union européenne ne peuvent qu’être écartés ;</w:t>
      </w:r>
    </w:p>
    <w:p w14:paraId="052E88D3" w14:textId="77777777" w:rsidR="007B6C9F" w:rsidRDefault="007B6C9F" w:rsidP="007B6C9F">
      <w:pPr>
        <w:tabs>
          <w:tab w:val="left" w:pos="851"/>
        </w:tabs>
        <w:spacing w:line="276" w:lineRule="auto"/>
        <w:contextualSpacing/>
        <w:jc w:val="lowKashida"/>
        <w:rPr>
          <w:rFonts w:ascii="Garamond" w:hAnsi="Garamond" w:cstheme="majorBidi"/>
        </w:rPr>
      </w:pPr>
    </w:p>
    <w:p w14:paraId="6543C464" w14:textId="77777777" w:rsidR="007B6C9F" w:rsidRPr="00C33620" w:rsidRDefault="007B6C9F" w:rsidP="007B6C9F">
      <w:pPr>
        <w:tabs>
          <w:tab w:val="left" w:pos="851"/>
        </w:tabs>
        <w:spacing w:line="276" w:lineRule="auto"/>
        <w:contextualSpacing/>
        <w:jc w:val="both"/>
        <w:rPr>
          <w:rFonts w:ascii="Garamond" w:hAnsi="Garamond"/>
        </w:rPr>
      </w:pPr>
      <w:r>
        <w:rPr>
          <w:rFonts w:ascii="Garamond" w:hAnsi="Garamond"/>
        </w:rPr>
        <w:t>[…]</w:t>
      </w:r>
    </w:p>
    <w:p w14:paraId="6EF1D57E" w14:textId="77777777" w:rsidR="007B6C9F" w:rsidRPr="00F57C6E" w:rsidRDefault="007B6C9F" w:rsidP="00F57C6E">
      <w:pPr>
        <w:tabs>
          <w:tab w:val="left" w:pos="851"/>
        </w:tabs>
        <w:spacing w:line="276" w:lineRule="auto"/>
        <w:contextualSpacing/>
        <w:jc w:val="both"/>
        <w:rPr>
          <w:rFonts w:ascii="Garamond" w:hAnsi="Garamond"/>
        </w:rPr>
      </w:pPr>
    </w:p>
    <w:sectPr w:rsidR="007B6C9F" w:rsidRPr="00F57C6E" w:rsidSect="00997B66">
      <w:footerReference w:type="default" r:id="rId12"/>
      <w:pgSz w:w="11900" w:h="16840"/>
      <w:pgMar w:top="993"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6DA2" w14:textId="77777777" w:rsidR="00A93D9D" w:rsidRDefault="00A93D9D" w:rsidP="00F7444F">
      <w:r>
        <w:separator/>
      </w:r>
    </w:p>
  </w:endnote>
  <w:endnote w:type="continuationSeparator" w:id="0">
    <w:p w14:paraId="27F7575C" w14:textId="77777777" w:rsidR="00A93D9D" w:rsidRDefault="00A93D9D" w:rsidP="00F7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803E" w14:textId="568BF878" w:rsidR="00F7444F" w:rsidRDefault="00F7444F" w:rsidP="00F7444F">
    <w:pPr>
      <w:pStyle w:val="Pieddepage"/>
      <w:jc w:val="right"/>
    </w:pPr>
    <w:r>
      <w:fldChar w:fldCharType="begin"/>
    </w:r>
    <w:r>
      <w:instrText xml:space="preserve"> PAGE   \* MERGEFORMAT </w:instrText>
    </w:r>
    <w:r>
      <w:fldChar w:fldCharType="separate"/>
    </w:r>
    <w:r w:rsidR="003852F9">
      <w:rPr>
        <w:noProof/>
      </w:rPr>
      <w:t>1</w:t>
    </w:r>
    <w:r>
      <w:rPr>
        <w:noProof/>
      </w:rPr>
      <w:fldChar w:fldCharType="end"/>
    </w:r>
  </w:p>
  <w:p w14:paraId="10FE2A16" w14:textId="77777777" w:rsidR="00DE2054" w:rsidRDefault="00DE2054"/>
  <w:p w14:paraId="4C338B11" w14:textId="77777777" w:rsidR="00FC3557" w:rsidRDefault="00FC3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1F9CA" w14:textId="77777777" w:rsidR="00A93D9D" w:rsidRDefault="00A93D9D" w:rsidP="00F7444F">
      <w:r>
        <w:separator/>
      </w:r>
    </w:p>
  </w:footnote>
  <w:footnote w:type="continuationSeparator" w:id="0">
    <w:p w14:paraId="3BE95EA0" w14:textId="77777777" w:rsidR="00A93D9D" w:rsidRDefault="00A93D9D" w:rsidP="00F7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1D3D"/>
    <w:multiLevelType w:val="hybridMultilevel"/>
    <w:tmpl w:val="F5D0C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9D4D5A"/>
    <w:multiLevelType w:val="hybridMultilevel"/>
    <w:tmpl w:val="C68C6942"/>
    <w:lvl w:ilvl="0" w:tplc="BE1A7B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E11DD2"/>
    <w:multiLevelType w:val="multilevel"/>
    <w:tmpl w:val="2EAE1C04"/>
    <w:styleLink w:val="Soraya"/>
    <w:lvl w:ilvl="0">
      <w:start w:val="1"/>
      <w:numFmt w:val="decimal"/>
      <w:lvlText w:val="Partie %1."/>
      <w:lvlJc w:val="left"/>
      <w:pPr>
        <w:ind w:left="142" w:firstLine="0"/>
      </w:pPr>
      <w:rPr>
        <w:rFonts w:ascii="Times New Roman" w:hAnsi="Times New Roman" w:hint="default"/>
      </w:rPr>
    </w:lvl>
    <w:lvl w:ilvl="1">
      <w:start w:val="1"/>
      <w:numFmt w:val="decimalZero"/>
      <w:isLgl/>
      <w:lvlText w:val="%2Chapitre %1."/>
      <w:lvlJc w:val="left"/>
      <w:pPr>
        <w:ind w:left="142" w:firstLine="0"/>
      </w:pPr>
      <w:rPr>
        <w:rFonts w:hint="default"/>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3" w15:restartNumberingAfterBreak="0">
    <w:nsid w:val="26AF49AF"/>
    <w:multiLevelType w:val="multilevel"/>
    <w:tmpl w:val="7E6A1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B91633"/>
    <w:multiLevelType w:val="multilevel"/>
    <w:tmpl w:val="244A71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2011CD"/>
    <w:multiLevelType w:val="hybridMultilevel"/>
    <w:tmpl w:val="87D469C8"/>
    <w:lvl w:ilvl="0" w:tplc="6FE04EA6">
      <w:numFmt w:val="bullet"/>
      <w:lvlText w:val=""/>
      <w:lvlJc w:val="left"/>
      <w:pPr>
        <w:ind w:left="1776" w:hanging="360"/>
      </w:pPr>
      <w:rPr>
        <w:rFonts w:ascii="Symbol" w:eastAsia="Times New Roman" w:hAnsi="Symbol" w:cs="Times New Roman"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8C875E5"/>
    <w:multiLevelType w:val="hybridMultilevel"/>
    <w:tmpl w:val="BE3448B4"/>
    <w:lvl w:ilvl="0" w:tplc="2A44E4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2C5963"/>
    <w:multiLevelType w:val="hybridMultilevel"/>
    <w:tmpl w:val="1396B26A"/>
    <w:lvl w:ilvl="0" w:tplc="C914BF1C">
      <w:start w:val="1"/>
      <w:numFmt w:val="decimal"/>
      <w:lvlText w:val="Document n°%1 –"/>
      <w:lvlJc w:val="right"/>
      <w:pPr>
        <w:ind w:left="1920" w:hanging="360"/>
      </w:pPr>
      <w:rPr>
        <w:rFonts w:hint="default"/>
        <w:b w:val="0"/>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64572257"/>
    <w:multiLevelType w:val="hybridMultilevel"/>
    <w:tmpl w:val="DEE44D8C"/>
    <w:lvl w:ilvl="0" w:tplc="1D3615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E914FE"/>
    <w:multiLevelType w:val="hybridMultilevel"/>
    <w:tmpl w:val="B770CF12"/>
    <w:lvl w:ilvl="0" w:tplc="B2FC1C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3224635">
    <w:abstractNumId w:val="4"/>
  </w:num>
  <w:num w:numId="2" w16cid:durableId="1042435176">
    <w:abstractNumId w:val="2"/>
  </w:num>
  <w:num w:numId="3" w16cid:durableId="1408917279">
    <w:abstractNumId w:val="3"/>
  </w:num>
  <w:num w:numId="4" w16cid:durableId="68581209">
    <w:abstractNumId w:val="9"/>
  </w:num>
  <w:num w:numId="5" w16cid:durableId="1137793460">
    <w:abstractNumId w:val="5"/>
  </w:num>
  <w:num w:numId="6" w16cid:durableId="345399973">
    <w:abstractNumId w:val="7"/>
  </w:num>
  <w:num w:numId="7" w16cid:durableId="1776439046">
    <w:abstractNumId w:val="8"/>
  </w:num>
  <w:num w:numId="8" w16cid:durableId="1939021364">
    <w:abstractNumId w:val="1"/>
  </w:num>
  <w:num w:numId="9" w16cid:durableId="344289497">
    <w:abstractNumId w:val="6"/>
  </w:num>
  <w:num w:numId="10" w16cid:durableId="6137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68"/>
    <w:rsid w:val="00045F8F"/>
    <w:rsid w:val="00076583"/>
    <w:rsid w:val="000A0099"/>
    <w:rsid w:val="000A2563"/>
    <w:rsid w:val="000C1B52"/>
    <w:rsid w:val="000C6FD0"/>
    <w:rsid w:val="000E33BC"/>
    <w:rsid w:val="00112C8F"/>
    <w:rsid w:val="00130A3D"/>
    <w:rsid w:val="00146080"/>
    <w:rsid w:val="001E1C0D"/>
    <w:rsid w:val="002223D4"/>
    <w:rsid w:val="002430B3"/>
    <w:rsid w:val="00255186"/>
    <w:rsid w:val="0027136A"/>
    <w:rsid w:val="00271CFC"/>
    <w:rsid w:val="002D09F1"/>
    <w:rsid w:val="0033649D"/>
    <w:rsid w:val="0036168D"/>
    <w:rsid w:val="003747FA"/>
    <w:rsid w:val="003852F9"/>
    <w:rsid w:val="003959D0"/>
    <w:rsid w:val="003B1BA1"/>
    <w:rsid w:val="003D2BA3"/>
    <w:rsid w:val="003D6741"/>
    <w:rsid w:val="003E0DC8"/>
    <w:rsid w:val="00436021"/>
    <w:rsid w:val="004933D5"/>
    <w:rsid w:val="00520A16"/>
    <w:rsid w:val="00610FED"/>
    <w:rsid w:val="006153AA"/>
    <w:rsid w:val="006965AD"/>
    <w:rsid w:val="006B1BF4"/>
    <w:rsid w:val="006C40A5"/>
    <w:rsid w:val="006D3E0D"/>
    <w:rsid w:val="007019E3"/>
    <w:rsid w:val="007621AC"/>
    <w:rsid w:val="007764AF"/>
    <w:rsid w:val="00793026"/>
    <w:rsid w:val="007A2322"/>
    <w:rsid w:val="007B6C9F"/>
    <w:rsid w:val="007D39E8"/>
    <w:rsid w:val="00814EC4"/>
    <w:rsid w:val="008211F5"/>
    <w:rsid w:val="00840F21"/>
    <w:rsid w:val="00846FA6"/>
    <w:rsid w:val="00863F68"/>
    <w:rsid w:val="008675BA"/>
    <w:rsid w:val="00886713"/>
    <w:rsid w:val="008B7594"/>
    <w:rsid w:val="008C1C59"/>
    <w:rsid w:val="008C73D4"/>
    <w:rsid w:val="008F0781"/>
    <w:rsid w:val="00912D4B"/>
    <w:rsid w:val="009449CD"/>
    <w:rsid w:val="00950C91"/>
    <w:rsid w:val="009617F3"/>
    <w:rsid w:val="00971616"/>
    <w:rsid w:val="00972A07"/>
    <w:rsid w:val="009742C9"/>
    <w:rsid w:val="00997B66"/>
    <w:rsid w:val="009A1D56"/>
    <w:rsid w:val="009A2754"/>
    <w:rsid w:val="009C595A"/>
    <w:rsid w:val="00A00315"/>
    <w:rsid w:val="00A9290D"/>
    <w:rsid w:val="00A93D9D"/>
    <w:rsid w:val="00AA7A75"/>
    <w:rsid w:val="00AB185B"/>
    <w:rsid w:val="00B1542E"/>
    <w:rsid w:val="00B31B09"/>
    <w:rsid w:val="00B63B3E"/>
    <w:rsid w:val="00B93D40"/>
    <w:rsid w:val="00BB126C"/>
    <w:rsid w:val="00C33620"/>
    <w:rsid w:val="00C3643B"/>
    <w:rsid w:val="00C6242A"/>
    <w:rsid w:val="00C87801"/>
    <w:rsid w:val="00CC155C"/>
    <w:rsid w:val="00CF27FC"/>
    <w:rsid w:val="00DE2054"/>
    <w:rsid w:val="00DE48CF"/>
    <w:rsid w:val="00DF362F"/>
    <w:rsid w:val="00E1707F"/>
    <w:rsid w:val="00E20828"/>
    <w:rsid w:val="00E36C71"/>
    <w:rsid w:val="00E478FD"/>
    <w:rsid w:val="00E725B3"/>
    <w:rsid w:val="00E74D56"/>
    <w:rsid w:val="00E84C59"/>
    <w:rsid w:val="00EB11B0"/>
    <w:rsid w:val="00EC66AD"/>
    <w:rsid w:val="00EE1D1E"/>
    <w:rsid w:val="00EE4B57"/>
    <w:rsid w:val="00EE59ED"/>
    <w:rsid w:val="00F26D58"/>
    <w:rsid w:val="00F30F14"/>
    <w:rsid w:val="00F450F2"/>
    <w:rsid w:val="00F57C6E"/>
    <w:rsid w:val="00F7444F"/>
    <w:rsid w:val="00F84022"/>
    <w:rsid w:val="00FC3557"/>
    <w:rsid w:val="00FF0E6E"/>
    <w:rsid w:val="00FF2D7A"/>
    <w:rsid w:val="00FF5A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9FA8E"/>
  <w15:docId w15:val="{7E286097-CCEC-4754-AD4A-66A36A5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F9"/>
    <w:rPr>
      <w:rFonts w:ascii="Times New Roman" w:eastAsia="Times New Roman" w:hAnsi="Times New Roman" w:cs="Times New Roman"/>
    </w:rPr>
  </w:style>
  <w:style w:type="paragraph" w:styleId="Titre1">
    <w:name w:val="heading 1"/>
    <w:aliases w:val="Partie 1."/>
    <w:basedOn w:val="Normal"/>
    <w:next w:val="Normal"/>
    <w:link w:val="Titre1Car"/>
    <w:autoRedefine/>
    <w:uiPriority w:val="9"/>
    <w:qFormat/>
    <w:rsid w:val="004933D5"/>
    <w:pPr>
      <w:keepNext/>
      <w:keepLines/>
      <w:pBdr>
        <w:bottom w:val="single" w:sz="18" w:space="1" w:color="BFBFBF" w:themeColor="background1" w:themeShade="BF"/>
      </w:pBdr>
      <w:spacing w:before="406" w:after="180"/>
      <w:jc w:val="lowKashida"/>
      <w:outlineLvl w:val="0"/>
    </w:pPr>
    <w:rPr>
      <w:rFonts w:asciiTheme="majorBidi" w:eastAsiaTheme="majorEastAsia" w:hAnsiTheme="majorBidi" w:cstheme="majorBidi"/>
      <w:b/>
      <w:bCs/>
      <w:smallCaps/>
      <w:color w:val="000000" w:themeColor="text1"/>
    </w:rPr>
  </w:style>
  <w:style w:type="paragraph" w:styleId="Titre2">
    <w:name w:val="heading 2"/>
    <w:basedOn w:val="Normal"/>
    <w:next w:val="Normal"/>
    <w:link w:val="Titre2Car"/>
    <w:uiPriority w:val="9"/>
    <w:semiHidden/>
    <w:unhideWhenUsed/>
    <w:qFormat/>
    <w:rsid w:val="000E33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B185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1. Car"/>
    <w:basedOn w:val="Policepardfaut"/>
    <w:link w:val="Titre1"/>
    <w:uiPriority w:val="9"/>
    <w:rsid w:val="004933D5"/>
    <w:rPr>
      <w:rFonts w:asciiTheme="majorBidi" w:eastAsiaTheme="majorEastAsia" w:hAnsiTheme="majorBidi" w:cstheme="majorBidi"/>
      <w:b/>
      <w:bCs/>
      <w:smallCaps/>
      <w:color w:val="000000" w:themeColor="text1"/>
    </w:rPr>
  </w:style>
  <w:style w:type="numbering" w:customStyle="1" w:styleId="Soraya">
    <w:name w:val="Soraya"/>
    <w:uiPriority w:val="99"/>
    <w:rsid w:val="00146080"/>
    <w:pPr>
      <w:numPr>
        <w:numId w:val="2"/>
      </w:numPr>
    </w:pPr>
  </w:style>
  <w:style w:type="paragraph" w:styleId="Paragraphedeliste">
    <w:name w:val="List Paragraph"/>
    <w:basedOn w:val="Normal"/>
    <w:uiPriority w:val="34"/>
    <w:qFormat/>
    <w:rsid w:val="00863F68"/>
    <w:pPr>
      <w:ind w:left="720"/>
      <w:contextualSpacing/>
    </w:pPr>
  </w:style>
  <w:style w:type="paragraph" w:styleId="En-tte">
    <w:name w:val="header"/>
    <w:basedOn w:val="Normal"/>
    <w:link w:val="En-tteCar"/>
    <w:rsid w:val="00F7444F"/>
    <w:pPr>
      <w:tabs>
        <w:tab w:val="center" w:pos="4153"/>
        <w:tab w:val="right" w:pos="8306"/>
      </w:tabs>
    </w:pPr>
    <w:rPr>
      <w:rFonts w:ascii="Times" w:hAnsi="Times"/>
      <w:szCs w:val="20"/>
      <w:lang w:eastAsia="fr-FR"/>
    </w:rPr>
  </w:style>
  <w:style w:type="character" w:customStyle="1" w:styleId="En-tteCar">
    <w:name w:val="En-tête Car"/>
    <w:basedOn w:val="Policepardfaut"/>
    <w:link w:val="En-tte"/>
    <w:rsid w:val="00F7444F"/>
    <w:rPr>
      <w:rFonts w:ascii="Times" w:eastAsia="Times New Roman" w:hAnsi="Times" w:cs="Times New Roman"/>
      <w:szCs w:val="20"/>
      <w:lang w:eastAsia="fr-FR"/>
    </w:rPr>
  </w:style>
  <w:style w:type="paragraph" w:styleId="Pieddepage">
    <w:name w:val="footer"/>
    <w:basedOn w:val="Normal"/>
    <w:link w:val="PieddepageCar"/>
    <w:uiPriority w:val="99"/>
    <w:unhideWhenUsed/>
    <w:rsid w:val="00F7444F"/>
    <w:pPr>
      <w:tabs>
        <w:tab w:val="center" w:pos="4680"/>
        <w:tab w:val="right" w:pos="9360"/>
      </w:tabs>
    </w:pPr>
  </w:style>
  <w:style w:type="character" w:customStyle="1" w:styleId="PieddepageCar">
    <w:name w:val="Pied de page Car"/>
    <w:basedOn w:val="Policepardfaut"/>
    <w:link w:val="Pieddepage"/>
    <w:uiPriority w:val="99"/>
    <w:rsid w:val="00F7444F"/>
    <w:rPr>
      <w:rFonts w:ascii="Times New Roman" w:eastAsia="Times New Roman" w:hAnsi="Times New Roman" w:cs="Times New Roman"/>
    </w:rPr>
  </w:style>
  <w:style w:type="paragraph" w:customStyle="1" w:styleId="para">
    <w:name w:val="para"/>
    <w:basedOn w:val="Normal"/>
    <w:rsid w:val="004933D5"/>
    <w:pPr>
      <w:spacing w:before="100" w:beforeAutospacing="1" w:after="100" w:afterAutospacing="1"/>
    </w:pPr>
    <w:rPr>
      <w:lang w:val="en-US"/>
    </w:rPr>
  </w:style>
  <w:style w:type="character" w:styleId="Lienhypertexte">
    <w:name w:val="Hyperlink"/>
    <w:basedOn w:val="Policepardfaut"/>
    <w:uiPriority w:val="99"/>
    <w:unhideWhenUsed/>
    <w:rsid w:val="004933D5"/>
    <w:rPr>
      <w:color w:val="0000FF"/>
      <w:u w:val="single"/>
    </w:rPr>
  </w:style>
  <w:style w:type="character" w:customStyle="1" w:styleId="marquage">
    <w:name w:val="marquage"/>
    <w:basedOn w:val="Policepardfaut"/>
    <w:rsid w:val="004933D5"/>
  </w:style>
  <w:style w:type="character" w:styleId="Accentuation">
    <w:name w:val="Emphasis"/>
    <w:basedOn w:val="Policepardfaut"/>
    <w:uiPriority w:val="20"/>
    <w:qFormat/>
    <w:rsid w:val="004933D5"/>
    <w:rPr>
      <w:i/>
      <w:iCs/>
    </w:rPr>
  </w:style>
  <w:style w:type="paragraph" w:styleId="NormalWeb">
    <w:name w:val="Normal (Web)"/>
    <w:basedOn w:val="Normal"/>
    <w:uiPriority w:val="99"/>
    <w:unhideWhenUsed/>
    <w:rsid w:val="00840F21"/>
    <w:pPr>
      <w:spacing w:before="100" w:beforeAutospacing="1" w:after="100" w:afterAutospacing="1"/>
    </w:pPr>
    <w:rPr>
      <w:lang w:val="en-US"/>
    </w:rPr>
  </w:style>
  <w:style w:type="character" w:customStyle="1" w:styleId="Mentionnonrsolue1">
    <w:name w:val="Mention non résolue1"/>
    <w:basedOn w:val="Policepardfaut"/>
    <w:uiPriority w:val="99"/>
    <w:semiHidden/>
    <w:unhideWhenUsed/>
    <w:rsid w:val="00C3643B"/>
    <w:rPr>
      <w:color w:val="605E5C"/>
      <w:shd w:val="clear" w:color="auto" w:fill="E1DFDD"/>
    </w:rPr>
  </w:style>
  <w:style w:type="character" w:customStyle="1" w:styleId="Titre3Car">
    <w:name w:val="Titre 3 Car"/>
    <w:basedOn w:val="Policepardfaut"/>
    <w:link w:val="Titre3"/>
    <w:uiPriority w:val="9"/>
    <w:semiHidden/>
    <w:rsid w:val="00AB185B"/>
    <w:rPr>
      <w:rFonts w:asciiTheme="majorHAnsi" w:eastAsiaTheme="majorEastAsia" w:hAnsiTheme="majorHAnsi" w:cstheme="majorBidi"/>
      <w:color w:val="1F3763" w:themeColor="accent1" w:themeShade="7F"/>
    </w:rPr>
  </w:style>
  <w:style w:type="character" w:customStyle="1" w:styleId="Titre2Car">
    <w:name w:val="Titre 2 Car"/>
    <w:basedOn w:val="Policepardfaut"/>
    <w:link w:val="Titre2"/>
    <w:uiPriority w:val="9"/>
    <w:semiHidden/>
    <w:rsid w:val="000E33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2666">
      <w:bodyDiv w:val="1"/>
      <w:marLeft w:val="0"/>
      <w:marRight w:val="0"/>
      <w:marTop w:val="0"/>
      <w:marBottom w:val="0"/>
      <w:divBdr>
        <w:top w:val="none" w:sz="0" w:space="0" w:color="auto"/>
        <w:left w:val="none" w:sz="0" w:space="0" w:color="auto"/>
        <w:bottom w:val="none" w:sz="0" w:space="0" w:color="auto"/>
        <w:right w:val="none" w:sz="0" w:space="0" w:color="auto"/>
      </w:divBdr>
    </w:div>
    <w:div w:id="256527163">
      <w:bodyDiv w:val="1"/>
      <w:marLeft w:val="0"/>
      <w:marRight w:val="0"/>
      <w:marTop w:val="0"/>
      <w:marBottom w:val="0"/>
      <w:divBdr>
        <w:top w:val="none" w:sz="0" w:space="0" w:color="auto"/>
        <w:left w:val="none" w:sz="0" w:space="0" w:color="auto"/>
        <w:bottom w:val="none" w:sz="0" w:space="0" w:color="auto"/>
        <w:right w:val="none" w:sz="0" w:space="0" w:color="auto"/>
      </w:divBdr>
      <w:divsChild>
        <w:div w:id="292447890">
          <w:marLeft w:val="0"/>
          <w:marRight w:val="0"/>
          <w:marTop w:val="0"/>
          <w:marBottom w:val="0"/>
          <w:divBdr>
            <w:top w:val="none" w:sz="0" w:space="0" w:color="auto"/>
            <w:left w:val="none" w:sz="0" w:space="0" w:color="auto"/>
            <w:bottom w:val="none" w:sz="0" w:space="0" w:color="auto"/>
            <w:right w:val="none" w:sz="0" w:space="0" w:color="auto"/>
          </w:divBdr>
        </w:div>
      </w:divsChild>
    </w:div>
    <w:div w:id="348145043">
      <w:bodyDiv w:val="1"/>
      <w:marLeft w:val="0"/>
      <w:marRight w:val="0"/>
      <w:marTop w:val="0"/>
      <w:marBottom w:val="0"/>
      <w:divBdr>
        <w:top w:val="none" w:sz="0" w:space="0" w:color="auto"/>
        <w:left w:val="none" w:sz="0" w:space="0" w:color="auto"/>
        <w:bottom w:val="none" w:sz="0" w:space="0" w:color="auto"/>
        <w:right w:val="none" w:sz="0" w:space="0" w:color="auto"/>
      </w:divBdr>
    </w:div>
    <w:div w:id="501162068">
      <w:bodyDiv w:val="1"/>
      <w:marLeft w:val="0"/>
      <w:marRight w:val="0"/>
      <w:marTop w:val="0"/>
      <w:marBottom w:val="0"/>
      <w:divBdr>
        <w:top w:val="none" w:sz="0" w:space="0" w:color="auto"/>
        <w:left w:val="none" w:sz="0" w:space="0" w:color="auto"/>
        <w:bottom w:val="none" w:sz="0" w:space="0" w:color="auto"/>
        <w:right w:val="none" w:sz="0" w:space="0" w:color="auto"/>
      </w:divBdr>
    </w:div>
    <w:div w:id="522326439">
      <w:bodyDiv w:val="1"/>
      <w:marLeft w:val="0"/>
      <w:marRight w:val="0"/>
      <w:marTop w:val="0"/>
      <w:marBottom w:val="0"/>
      <w:divBdr>
        <w:top w:val="none" w:sz="0" w:space="0" w:color="auto"/>
        <w:left w:val="none" w:sz="0" w:space="0" w:color="auto"/>
        <w:bottom w:val="none" w:sz="0" w:space="0" w:color="auto"/>
        <w:right w:val="none" w:sz="0" w:space="0" w:color="auto"/>
      </w:divBdr>
    </w:div>
    <w:div w:id="522743227">
      <w:bodyDiv w:val="1"/>
      <w:marLeft w:val="0"/>
      <w:marRight w:val="0"/>
      <w:marTop w:val="0"/>
      <w:marBottom w:val="0"/>
      <w:divBdr>
        <w:top w:val="none" w:sz="0" w:space="0" w:color="auto"/>
        <w:left w:val="none" w:sz="0" w:space="0" w:color="auto"/>
        <w:bottom w:val="none" w:sz="0" w:space="0" w:color="auto"/>
        <w:right w:val="none" w:sz="0" w:space="0" w:color="auto"/>
      </w:divBdr>
    </w:div>
    <w:div w:id="522744675">
      <w:bodyDiv w:val="1"/>
      <w:marLeft w:val="0"/>
      <w:marRight w:val="0"/>
      <w:marTop w:val="0"/>
      <w:marBottom w:val="0"/>
      <w:divBdr>
        <w:top w:val="none" w:sz="0" w:space="0" w:color="auto"/>
        <w:left w:val="none" w:sz="0" w:space="0" w:color="auto"/>
        <w:bottom w:val="none" w:sz="0" w:space="0" w:color="auto"/>
        <w:right w:val="none" w:sz="0" w:space="0" w:color="auto"/>
      </w:divBdr>
      <w:divsChild>
        <w:div w:id="1479806711">
          <w:marLeft w:val="0"/>
          <w:marRight w:val="0"/>
          <w:marTop w:val="0"/>
          <w:marBottom w:val="0"/>
          <w:divBdr>
            <w:top w:val="none" w:sz="0" w:space="0" w:color="auto"/>
            <w:left w:val="none" w:sz="0" w:space="0" w:color="auto"/>
            <w:bottom w:val="none" w:sz="0" w:space="0" w:color="auto"/>
            <w:right w:val="none" w:sz="0" w:space="0" w:color="auto"/>
          </w:divBdr>
        </w:div>
      </w:divsChild>
    </w:div>
    <w:div w:id="662322851">
      <w:bodyDiv w:val="1"/>
      <w:marLeft w:val="0"/>
      <w:marRight w:val="0"/>
      <w:marTop w:val="0"/>
      <w:marBottom w:val="0"/>
      <w:divBdr>
        <w:top w:val="none" w:sz="0" w:space="0" w:color="auto"/>
        <w:left w:val="none" w:sz="0" w:space="0" w:color="auto"/>
        <w:bottom w:val="none" w:sz="0" w:space="0" w:color="auto"/>
        <w:right w:val="none" w:sz="0" w:space="0" w:color="auto"/>
      </w:divBdr>
    </w:div>
    <w:div w:id="683628735">
      <w:bodyDiv w:val="1"/>
      <w:marLeft w:val="0"/>
      <w:marRight w:val="0"/>
      <w:marTop w:val="0"/>
      <w:marBottom w:val="0"/>
      <w:divBdr>
        <w:top w:val="none" w:sz="0" w:space="0" w:color="auto"/>
        <w:left w:val="none" w:sz="0" w:space="0" w:color="auto"/>
        <w:bottom w:val="none" w:sz="0" w:space="0" w:color="auto"/>
        <w:right w:val="none" w:sz="0" w:space="0" w:color="auto"/>
      </w:divBdr>
    </w:div>
    <w:div w:id="863792242">
      <w:bodyDiv w:val="1"/>
      <w:marLeft w:val="0"/>
      <w:marRight w:val="0"/>
      <w:marTop w:val="0"/>
      <w:marBottom w:val="0"/>
      <w:divBdr>
        <w:top w:val="none" w:sz="0" w:space="0" w:color="auto"/>
        <w:left w:val="none" w:sz="0" w:space="0" w:color="auto"/>
        <w:bottom w:val="none" w:sz="0" w:space="0" w:color="auto"/>
        <w:right w:val="none" w:sz="0" w:space="0" w:color="auto"/>
      </w:divBdr>
    </w:div>
    <w:div w:id="925531204">
      <w:bodyDiv w:val="1"/>
      <w:marLeft w:val="0"/>
      <w:marRight w:val="0"/>
      <w:marTop w:val="0"/>
      <w:marBottom w:val="0"/>
      <w:divBdr>
        <w:top w:val="none" w:sz="0" w:space="0" w:color="auto"/>
        <w:left w:val="none" w:sz="0" w:space="0" w:color="auto"/>
        <w:bottom w:val="none" w:sz="0" w:space="0" w:color="auto"/>
        <w:right w:val="none" w:sz="0" w:space="0" w:color="auto"/>
      </w:divBdr>
      <w:divsChild>
        <w:div w:id="64690306">
          <w:marLeft w:val="0"/>
          <w:marRight w:val="0"/>
          <w:marTop w:val="0"/>
          <w:marBottom w:val="0"/>
          <w:divBdr>
            <w:top w:val="none" w:sz="0" w:space="0" w:color="auto"/>
            <w:left w:val="none" w:sz="0" w:space="0" w:color="auto"/>
            <w:bottom w:val="none" w:sz="0" w:space="0" w:color="auto"/>
            <w:right w:val="none" w:sz="0" w:space="0" w:color="auto"/>
          </w:divBdr>
        </w:div>
      </w:divsChild>
    </w:div>
    <w:div w:id="1029644869">
      <w:bodyDiv w:val="1"/>
      <w:marLeft w:val="0"/>
      <w:marRight w:val="0"/>
      <w:marTop w:val="0"/>
      <w:marBottom w:val="0"/>
      <w:divBdr>
        <w:top w:val="none" w:sz="0" w:space="0" w:color="auto"/>
        <w:left w:val="none" w:sz="0" w:space="0" w:color="auto"/>
        <w:bottom w:val="none" w:sz="0" w:space="0" w:color="auto"/>
        <w:right w:val="none" w:sz="0" w:space="0" w:color="auto"/>
      </w:divBdr>
      <w:divsChild>
        <w:div w:id="1324360023">
          <w:marLeft w:val="0"/>
          <w:marRight w:val="0"/>
          <w:marTop w:val="0"/>
          <w:marBottom w:val="0"/>
          <w:divBdr>
            <w:top w:val="none" w:sz="0" w:space="0" w:color="auto"/>
            <w:left w:val="none" w:sz="0" w:space="0" w:color="auto"/>
            <w:bottom w:val="none" w:sz="0" w:space="0" w:color="auto"/>
            <w:right w:val="none" w:sz="0" w:space="0" w:color="auto"/>
          </w:divBdr>
        </w:div>
        <w:div w:id="366220798">
          <w:marLeft w:val="0"/>
          <w:marRight w:val="0"/>
          <w:marTop w:val="0"/>
          <w:marBottom w:val="0"/>
          <w:divBdr>
            <w:top w:val="none" w:sz="0" w:space="0" w:color="auto"/>
            <w:left w:val="none" w:sz="0" w:space="0" w:color="auto"/>
            <w:bottom w:val="none" w:sz="0" w:space="0" w:color="auto"/>
            <w:right w:val="none" w:sz="0" w:space="0" w:color="auto"/>
          </w:divBdr>
        </w:div>
      </w:divsChild>
    </w:div>
    <w:div w:id="1131052946">
      <w:bodyDiv w:val="1"/>
      <w:marLeft w:val="0"/>
      <w:marRight w:val="0"/>
      <w:marTop w:val="0"/>
      <w:marBottom w:val="0"/>
      <w:divBdr>
        <w:top w:val="none" w:sz="0" w:space="0" w:color="auto"/>
        <w:left w:val="none" w:sz="0" w:space="0" w:color="auto"/>
        <w:bottom w:val="none" w:sz="0" w:space="0" w:color="auto"/>
        <w:right w:val="none" w:sz="0" w:space="0" w:color="auto"/>
      </w:divBdr>
      <w:divsChild>
        <w:div w:id="43918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439026">
      <w:bodyDiv w:val="1"/>
      <w:marLeft w:val="0"/>
      <w:marRight w:val="0"/>
      <w:marTop w:val="0"/>
      <w:marBottom w:val="0"/>
      <w:divBdr>
        <w:top w:val="none" w:sz="0" w:space="0" w:color="auto"/>
        <w:left w:val="none" w:sz="0" w:space="0" w:color="auto"/>
        <w:bottom w:val="none" w:sz="0" w:space="0" w:color="auto"/>
        <w:right w:val="none" w:sz="0" w:space="0" w:color="auto"/>
      </w:divBdr>
    </w:div>
    <w:div w:id="1346175529">
      <w:bodyDiv w:val="1"/>
      <w:marLeft w:val="0"/>
      <w:marRight w:val="0"/>
      <w:marTop w:val="0"/>
      <w:marBottom w:val="0"/>
      <w:divBdr>
        <w:top w:val="none" w:sz="0" w:space="0" w:color="auto"/>
        <w:left w:val="none" w:sz="0" w:space="0" w:color="auto"/>
        <w:bottom w:val="none" w:sz="0" w:space="0" w:color="auto"/>
        <w:right w:val="none" w:sz="0" w:space="0" w:color="auto"/>
      </w:divBdr>
    </w:div>
    <w:div w:id="1373918288">
      <w:bodyDiv w:val="1"/>
      <w:marLeft w:val="0"/>
      <w:marRight w:val="0"/>
      <w:marTop w:val="0"/>
      <w:marBottom w:val="0"/>
      <w:divBdr>
        <w:top w:val="none" w:sz="0" w:space="0" w:color="auto"/>
        <w:left w:val="none" w:sz="0" w:space="0" w:color="auto"/>
        <w:bottom w:val="none" w:sz="0" w:space="0" w:color="auto"/>
        <w:right w:val="none" w:sz="0" w:space="0" w:color="auto"/>
      </w:divBdr>
    </w:div>
    <w:div w:id="1435663478">
      <w:bodyDiv w:val="1"/>
      <w:marLeft w:val="0"/>
      <w:marRight w:val="0"/>
      <w:marTop w:val="0"/>
      <w:marBottom w:val="0"/>
      <w:divBdr>
        <w:top w:val="none" w:sz="0" w:space="0" w:color="auto"/>
        <w:left w:val="none" w:sz="0" w:space="0" w:color="auto"/>
        <w:bottom w:val="none" w:sz="0" w:space="0" w:color="auto"/>
        <w:right w:val="none" w:sz="0" w:space="0" w:color="auto"/>
      </w:divBdr>
    </w:div>
    <w:div w:id="1505440311">
      <w:bodyDiv w:val="1"/>
      <w:marLeft w:val="0"/>
      <w:marRight w:val="0"/>
      <w:marTop w:val="0"/>
      <w:marBottom w:val="0"/>
      <w:divBdr>
        <w:top w:val="none" w:sz="0" w:space="0" w:color="auto"/>
        <w:left w:val="none" w:sz="0" w:space="0" w:color="auto"/>
        <w:bottom w:val="none" w:sz="0" w:space="0" w:color="auto"/>
        <w:right w:val="none" w:sz="0" w:space="0" w:color="auto"/>
      </w:divBdr>
      <w:divsChild>
        <w:div w:id="2064911840">
          <w:marLeft w:val="0"/>
          <w:marRight w:val="0"/>
          <w:marTop w:val="0"/>
          <w:marBottom w:val="0"/>
          <w:divBdr>
            <w:top w:val="none" w:sz="0" w:space="0" w:color="auto"/>
            <w:left w:val="none" w:sz="0" w:space="0" w:color="auto"/>
            <w:bottom w:val="none" w:sz="0" w:space="0" w:color="auto"/>
            <w:right w:val="none" w:sz="0" w:space="0" w:color="auto"/>
          </w:divBdr>
        </w:div>
      </w:divsChild>
    </w:div>
    <w:div w:id="1582257986">
      <w:bodyDiv w:val="1"/>
      <w:marLeft w:val="0"/>
      <w:marRight w:val="0"/>
      <w:marTop w:val="0"/>
      <w:marBottom w:val="0"/>
      <w:divBdr>
        <w:top w:val="none" w:sz="0" w:space="0" w:color="auto"/>
        <w:left w:val="none" w:sz="0" w:space="0" w:color="auto"/>
        <w:bottom w:val="none" w:sz="0" w:space="0" w:color="auto"/>
        <w:right w:val="none" w:sz="0" w:space="0" w:color="auto"/>
      </w:divBdr>
    </w:div>
    <w:div w:id="1686326399">
      <w:bodyDiv w:val="1"/>
      <w:marLeft w:val="0"/>
      <w:marRight w:val="0"/>
      <w:marTop w:val="0"/>
      <w:marBottom w:val="0"/>
      <w:divBdr>
        <w:top w:val="none" w:sz="0" w:space="0" w:color="auto"/>
        <w:left w:val="none" w:sz="0" w:space="0" w:color="auto"/>
        <w:bottom w:val="none" w:sz="0" w:space="0" w:color="auto"/>
        <w:right w:val="none" w:sz="0" w:space="0" w:color="auto"/>
      </w:divBdr>
    </w:div>
    <w:div w:id="1689521326">
      <w:bodyDiv w:val="1"/>
      <w:marLeft w:val="0"/>
      <w:marRight w:val="0"/>
      <w:marTop w:val="0"/>
      <w:marBottom w:val="0"/>
      <w:divBdr>
        <w:top w:val="none" w:sz="0" w:space="0" w:color="auto"/>
        <w:left w:val="none" w:sz="0" w:space="0" w:color="auto"/>
        <w:bottom w:val="none" w:sz="0" w:space="0" w:color="auto"/>
        <w:right w:val="none" w:sz="0" w:space="0" w:color="auto"/>
      </w:divBdr>
    </w:div>
    <w:div w:id="1788043014">
      <w:bodyDiv w:val="1"/>
      <w:marLeft w:val="0"/>
      <w:marRight w:val="0"/>
      <w:marTop w:val="0"/>
      <w:marBottom w:val="0"/>
      <w:divBdr>
        <w:top w:val="none" w:sz="0" w:space="0" w:color="auto"/>
        <w:left w:val="none" w:sz="0" w:space="0" w:color="auto"/>
        <w:bottom w:val="none" w:sz="0" w:space="0" w:color="auto"/>
        <w:right w:val="none" w:sz="0" w:space="0" w:color="auto"/>
      </w:divBdr>
    </w:div>
    <w:div w:id="1821536293">
      <w:bodyDiv w:val="1"/>
      <w:marLeft w:val="0"/>
      <w:marRight w:val="0"/>
      <w:marTop w:val="0"/>
      <w:marBottom w:val="0"/>
      <w:divBdr>
        <w:top w:val="none" w:sz="0" w:space="0" w:color="auto"/>
        <w:left w:val="none" w:sz="0" w:space="0" w:color="auto"/>
        <w:bottom w:val="none" w:sz="0" w:space="0" w:color="auto"/>
        <w:right w:val="none" w:sz="0" w:space="0" w:color="auto"/>
      </w:divBdr>
    </w:div>
    <w:div w:id="1827747442">
      <w:bodyDiv w:val="1"/>
      <w:marLeft w:val="0"/>
      <w:marRight w:val="0"/>
      <w:marTop w:val="0"/>
      <w:marBottom w:val="0"/>
      <w:divBdr>
        <w:top w:val="none" w:sz="0" w:space="0" w:color="auto"/>
        <w:left w:val="none" w:sz="0" w:space="0" w:color="auto"/>
        <w:bottom w:val="none" w:sz="0" w:space="0" w:color="auto"/>
        <w:right w:val="none" w:sz="0" w:space="0" w:color="auto"/>
      </w:divBdr>
    </w:div>
    <w:div w:id="1921403730">
      <w:bodyDiv w:val="1"/>
      <w:marLeft w:val="0"/>
      <w:marRight w:val="0"/>
      <w:marTop w:val="0"/>
      <w:marBottom w:val="0"/>
      <w:divBdr>
        <w:top w:val="none" w:sz="0" w:space="0" w:color="auto"/>
        <w:left w:val="none" w:sz="0" w:space="0" w:color="auto"/>
        <w:bottom w:val="none" w:sz="0" w:space="0" w:color="auto"/>
        <w:right w:val="none" w:sz="0" w:space="0" w:color="auto"/>
      </w:divBdr>
    </w:div>
    <w:div w:id="2027322631">
      <w:bodyDiv w:val="1"/>
      <w:marLeft w:val="0"/>
      <w:marRight w:val="0"/>
      <w:marTop w:val="0"/>
      <w:marBottom w:val="0"/>
      <w:divBdr>
        <w:top w:val="none" w:sz="0" w:space="0" w:color="auto"/>
        <w:left w:val="none" w:sz="0" w:space="0" w:color="auto"/>
        <w:bottom w:val="none" w:sz="0" w:space="0" w:color="auto"/>
        <w:right w:val="none" w:sz="0" w:space="0" w:color="auto"/>
      </w:divBdr>
    </w:div>
    <w:div w:id="2072342392">
      <w:bodyDiv w:val="1"/>
      <w:marLeft w:val="0"/>
      <w:marRight w:val="0"/>
      <w:marTop w:val="0"/>
      <w:marBottom w:val="0"/>
      <w:divBdr>
        <w:top w:val="none" w:sz="0" w:space="0" w:color="auto"/>
        <w:left w:val="none" w:sz="0" w:space="0" w:color="auto"/>
        <w:bottom w:val="none" w:sz="0" w:space="0" w:color="auto"/>
        <w:right w:val="none" w:sz="0" w:space="0" w:color="auto"/>
      </w:divBdr>
      <w:divsChild>
        <w:div w:id="196702586">
          <w:marLeft w:val="0"/>
          <w:marRight w:val="0"/>
          <w:marTop w:val="0"/>
          <w:marBottom w:val="0"/>
          <w:divBdr>
            <w:top w:val="none" w:sz="0" w:space="0" w:color="auto"/>
            <w:left w:val="none" w:sz="0" w:space="0" w:color="auto"/>
            <w:bottom w:val="none" w:sz="0" w:space="0" w:color="auto"/>
            <w:right w:val="none" w:sz="0" w:space="0" w:color="auto"/>
          </w:divBdr>
        </w:div>
      </w:divsChild>
    </w:div>
    <w:div w:id="21115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C046-8BE6-4588-AB5A-66C2305F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9143</Words>
  <Characters>50288</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IDAI Relevé de notes</cp:lastModifiedBy>
  <cp:revision>2</cp:revision>
  <dcterms:created xsi:type="dcterms:W3CDTF">2024-10-16T07:28:00Z</dcterms:created>
  <dcterms:modified xsi:type="dcterms:W3CDTF">2024-10-16T07:28:00Z</dcterms:modified>
</cp:coreProperties>
</file>