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9903A" w14:textId="77777777" w:rsidR="00C7630B" w:rsidRDefault="00C7630B" w:rsidP="00C7630B">
      <w:pPr>
        <w:spacing w:after="0"/>
        <w:jc w:val="center"/>
        <w:rPr>
          <w:b/>
          <w:sz w:val="28"/>
          <w:szCs w:val="28"/>
        </w:rPr>
      </w:pPr>
      <w:r>
        <w:rPr>
          <w:b/>
          <w:noProof/>
          <w:sz w:val="28"/>
          <w:szCs w:val="28"/>
        </w:rPr>
        <w:drawing>
          <wp:anchor distT="0" distB="0" distL="114300" distR="114300" simplePos="0" relativeHeight="251659264" behindDoc="0" locked="0" layoutInCell="1" allowOverlap="1" wp14:anchorId="076F15C9" wp14:editId="4905C518">
            <wp:simplePos x="0" y="0"/>
            <wp:positionH relativeFrom="margin">
              <wp:align>left</wp:align>
            </wp:positionH>
            <wp:positionV relativeFrom="margin">
              <wp:align>top</wp:align>
            </wp:positionV>
            <wp:extent cx="1144541" cy="10800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a:extLst>
                        <a:ext uri="{28A0092B-C50C-407E-A947-70E740481C1C}">
                          <a14:useLocalDpi xmlns:a14="http://schemas.microsoft.com/office/drawing/2010/main" val="0"/>
                        </a:ext>
                      </a:extLst>
                    </a:blip>
                    <a:stretch>
                      <a:fillRect/>
                    </a:stretch>
                  </pic:blipFill>
                  <pic:spPr>
                    <a:xfrm>
                      <a:off x="0" y="0"/>
                      <a:ext cx="1144541" cy="108000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1312" behindDoc="0" locked="0" layoutInCell="1" allowOverlap="1" wp14:anchorId="56C6B580" wp14:editId="7EA5C4F4">
            <wp:simplePos x="0" y="0"/>
            <wp:positionH relativeFrom="margin">
              <wp:align>center</wp:align>
            </wp:positionH>
            <wp:positionV relativeFrom="margin">
              <wp:align>top</wp:align>
            </wp:positionV>
            <wp:extent cx="2720498" cy="1224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0498" cy="122400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0288" behindDoc="0" locked="0" layoutInCell="1" allowOverlap="1" wp14:anchorId="189494A4" wp14:editId="17171758">
            <wp:simplePos x="0" y="0"/>
            <wp:positionH relativeFrom="margin">
              <wp:align>right</wp:align>
            </wp:positionH>
            <wp:positionV relativeFrom="margin">
              <wp:align>top</wp:align>
            </wp:positionV>
            <wp:extent cx="754272" cy="10800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72" cy="1080000"/>
                    </a:xfrm>
                    <a:prstGeom prst="rect">
                      <a:avLst/>
                    </a:prstGeom>
                  </pic:spPr>
                </pic:pic>
              </a:graphicData>
            </a:graphic>
            <wp14:sizeRelH relativeFrom="margin">
              <wp14:pctWidth>0</wp14:pctWidth>
            </wp14:sizeRelH>
            <wp14:sizeRelV relativeFrom="margin">
              <wp14:pctHeight>0</wp14:pctHeight>
            </wp14:sizeRelV>
          </wp:anchor>
        </w:drawing>
      </w:r>
    </w:p>
    <w:p w14:paraId="3E8F06E5" w14:textId="77777777" w:rsidR="00C7630B" w:rsidRDefault="00C7630B" w:rsidP="00C7630B">
      <w:pPr>
        <w:spacing w:after="0"/>
        <w:jc w:val="center"/>
        <w:rPr>
          <w:b/>
          <w:sz w:val="28"/>
          <w:szCs w:val="28"/>
        </w:rPr>
      </w:pPr>
    </w:p>
    <w:p w14:paraId="1008428E" w14:textId="77777777" w:rsidR="00C7630B" w:rsidRDefault="00C7630B" w:rsidP="00C7630B">
      <w:pPr>
        <w:spacing w:after="0"/>
        <w:jc w:val="center"/>
        <w:rPr>
          <w:b/>
          <w:sz w:val="28"/>
          <w:szCs w:val="28"/>
        </w:rPr>
      </w:pPr>
    </w:p>
    <w:p w14:paraId="27EE0061" w14:textId="77777777" w:rsidR="00C7630B" w:rsidRDefault="00C7630B" w:rsidP="00C7630B">
      <w:pPr>
        <w:spacing w:after="0"/>
        <w:jc w:val="center"/>
        <w:rPr>
          <w:b/>
          <w:sz w:val="28"/>
          <w:szCs w:val="28"/>
        </w:rPr>
      </w:pPr>
    </w:p>
    <w:p w14:paraId="709144F4" w14:textId="77777777" w:rsidR="00C7630B" w:rsidRDefault="00C7630B" w:rsidP="00C7630B">
      <w:pPr>
        <w:spacing w:after="0" w:line="240" w:lineRule="auto"/>
        <w:jc w:val="center"/>
        <w:rPr>
          <w:b/>
          <w:caps/>
          <w:sz w:val="26"/>
          <w:szCs w:val="26"/>
        </w:rPr>
      </w:pPr>
    </w:p>
    <w:p w14:paraId="100F3BEE" w14:textId="77777777" w:rsidR="00C7630B" w:rsidRDefault="00C7630B" w:rsidP="00C7630B">
      <w:pPr>
        <w:spacing w:after="0" w:line="240" w:lineRule="auto"/>
        <w:jc w:val="center"/>
        <w:rPr>
          <w:b/>
          <w:caps/>
          <w:sz w:val="26"/>
          <w:szCs w:val="26"/>
        </w:rPr>
      </w:pPr>
    </w:p>
    <w:p w14:paraId="337AD388" w14:textId="77777777" w:rsidR="00C7630B" w:rsidRPr="00E948F0" w:rsidRDefault="00C7630B" w:rsidP="00C7630B">
      <w:pPr>
        <w:spacing w:after="0" w:line="240" w:lineRule="auto"/>
        <w:jc w:val="center"/>
        <w:rPr>
          <w:b/>
          <w:caps/>
          <w:sz w:val="26"/>
          <w:szCs w:val="26"/>
        </w:rPr>
      </w:pPr>
      <w:r w:rsidRPr="00E948F0">
        <w:rPr>
          <w:b/>
          <w:caps/>
          <w:sz w:val="26"/>
          <w:szCs w:val="26"/>
        </w:rPr>
        <w:t xml:space="preserve">Institut de Droit des Affaires Internationales </w:t>
      </w:r>
    </w:p>
    <w:p w14:paraId="0A11D97B" w14:textId="77777777" w:rsidR="00C7630B" w:rsidRPr="00E948F0" w:rsidRDefault="00C7630B" w:rsidP="00C7630B">
      <w:pPr>
        <w:spacing w:after="0" w:line="240" w:lineRule="auto"/>
        <w:jc w:val="center"/>
        <w:rPr>
          <w:b/>
          <w:sz w:val="26"/>
          <w:szCs w:val="26"/>
        </w:rPr>
      </w:pPr>
      <w:r w:rsidRPr="00E948F0">
        <w:rPr>
          <w:b/>
          <w:sz w:val="26"/>
          <w:szCs w:val="26"/>
        </w:rPr>
        <w:t>MASTER 1 202</w:t>
      </w:r>
      <w:r>
        <w:rPr>
          <w:b/>
          <w:sz w:val="26"/>
          <w:szCs w:val="26"/>
        </w:rPr>
        <w:t>4</w:t>
      </w:r>
      <w:r w:rsidRPr="00E948F0">
        <w:rPr>
          <w:b/>
          <w:sz w:val="26"/>
          <w:szCs w:val="26"/>
        </w:rPr>
        <w:t>-202</w:t>
      </w:r>
      <w:r>
        <w:rPr>
          <w:b/>
          <w:sz w:val="26"/>
          <w:szCs w:val="26"/>
        </w:rPr>
        <w:t>5</w:t>
      </w:r>
    </w:p>
    <w:p w14:paraId="69D10BB0" w14:textId="77777777" w:rsidR="00C7630B" w:rsidRPr="00E948F0" w:rsidRDefault="00C7630B" w:rsidP="00C7630B">
      <w:pPr>
        <w:spacing w:before="240" w:after="0" w:line="240" w:lineRule="auto"/>
        <w:jc w:val="center"/>
        <w:rPr>
          <w:i/>
          <w:iCs/>
          <w:sz w:val="26"/>
          <w:szCs w:val="26"/>
        </w:rPr>
      </w:pPr>
      <w:r w:rsidRPr="00E948F0">
        <w:rPr>
          <w:i/>
          <w:iCs/>
          <w:sz w:val="26"/>
          <w:szCs w:val="26"/>
        </w:rPr>
        <w:t>TRAVAUX DIRIGÉS DE DROIT DES SÛRETÉS</w:t>
      </w:r>
    </w:p>
    <w:p w14:paraId="13BA4E22" w14:textId="77777777" w:rsidR="00C7630B" w:rsidRPr="00E948F0" w:rsidRDefault="00C7630B" w:rsidP="00C7630B">
      <w:pPr>
        <w:spacing w:after="240" w:line="240" w:lineRule="auto"/>
        <w:jc w:val="center"/>
        <w:rPr>
          <w:b/>
          <w:sz w:val="26"/>
          <w:szCs w:val="26"/>
        </w:rPr>
      </w:pPr>
      <w:r>
        <w:rPr>
          <w:b/>
          <w:sz w:val="26"/>
          <w:szCs w:val="26"/>
        </w:rPr>
        <w:t>Cours du Professeur Clément Favre-Rochex</w:t>
      </w:r>
    </w:p>
    <w:p w14:paraId="6D54371B" w14:textId="77777777" w:rsidR="00C7630B" w:rsidRPr="00E948F0" w:rsidRDefault="00C7630B" w:rsidP="00C7630B">
      <w:pPr>
        <w:spacing w:after="480" w:line="240" w:lineRule="auto"/>
        <w:jc w:val="center"/>
        <w:rPr>
          <w:bCs/>
          <w:i/>
          <w:iCs/>
          <w:sz w:val="26"/>
          <w:szCs w:val="26"/>
        </w:rPr>
      </w:pPr>
      <w:r w:rsidRPr="00E948F0">
        <w:rPr>
          <w:bCs/>
          <w:i/>
          <w:iCs/>
          <w:sz w:val="26"/>
          <w:szCs w:val="26"/>
        </w:rPr>
        <w:t xml:space="preserve">Chargé de travaux dirigés : </w:t>
      </w:r>
      <w:r>
        <w:rPr>
          <w:bCs/>
          <w:i/>
          <w:iCs/>
          <w:sz w:val="26"/>
          <w:szCs w:val="26"/>
        </w:rPr>
        <w:t xml:space="preserve">Madame </w:t>
      </w:r>
      <w:proofErr w:type="spellStart"/>
      <w:r w:rsidRPr="00E948F0">
        <w:rPr>
          <w:bCs/>
          <w:i/>
          <w:iCs/>
          <w:sz w:val="26"/>
          <w:szCs w:val="26"/>
        </w:rPr>
        <w:t>Alaa</w:t>
      </w:r>
      <w:proofErr w:type="spellEnd"/>
      <w:r w:rsidRPr="00E948F0">
        <w:rPr>
          <w:bCs/>
          <w:i/>
          <w:iCs/>
          <w:sz w:val="26"/>
          <w:szCs w:val="26"/>
        </w:rPr>
        <w:t xml:space="preserve"> ABDEL HAFIZ</w:t>
      </w:r>
    </w:p>
    <w:p w14:paraId="52D2EEF5" w14:textId="77777777" w:rsidR="00C7630B" w:rsidRPr="00CB6BF4" w:rsidRDefault="00C7630B" w:rsidP="00C7630B">
      <w:pPr>
        <w:pBdr>
          <w:bottom w:val="single" w:sz="4" w:space="1" w:color="auto"/>
        </w:pBdr>
        <w:spacing w:after="0" w:line="276" w:lineRule="auto"/>
        <w:jc w:val="center"/>
        <w:rPr>
          <w:b/>
          <w:sz w:val="26"/>
          <w:szCs w:val="26"/>
        </w:rPr>
      </w:pPr>
      <w:r>
        <w:rPr>
          <w:b/>
          <w:sz w:val="26"/>
          <w:szCs w:val="26"/>
        </w:rPr>
        <w:t>SÉANCE N° 2 : LA FORMATION DU CAUTIONNEMENT</w:t>
      </w:r>
    </w:p>
    <w:p w14:paraId="0126196E" w14:textId="77777777" w:rsidR="00C7630B" w:rsidRDefault="00C7630B" w:rsidP="00C7630B">
      <w:pPr>
        <w:pStyle w:val="Textebrut"/>
        <w:spacing w:before="120" w:after="120" w:line="276" w:lineRule="auto"/>
        <w:rPr>
          <w:rFonts w:ascii="Times New Roman" w:hAnsi="Times New Roman"/>
          <w:b/>
          <w:smallCaps/>
          <w:sz w:val="22"/>
          <w:szCs w:val="22"/>
        </w:rPr>
      </w:pPr>
    </w:p>
    <w:p w14:paraId="2DAA3E12" w14:textId="77777777" w:rsidR="00C7630B" w:rsidRDefault="00C7630B" w:rsidP="00C7630B">
      <w:pPr>
        <w:pStyle w:val="Textebrut"/>
        <w:spacing w:before="120" w:after="120" w:line="276" w:lineRule="auto"/>
        <w:rPr>
          <w:rFonts w:ascii="Times New Roman" w:hAnsi="Times New Roman"/>
          <w:b/>
          <w:smallCaps/>
          <w:sz w:val="22"/>
          <w:szCs w:val="22"/>
        </w:rPr>
      </w:pPr>
    </w:p>
    <w:p w14:paraId="771BF95A" w14:textId="77777777" w:rsidR="00C7630B" w:rsidRPr="006220AF" w:rsidRDefault="00C7630B" w:rsidP="00C7630B">
      <w:pPr>
        <w:spacing w:line="276" w:lineRule="auto"/>
      </w:pPr>
      <w:r w:rsidRPr="00481F8E">
        <w:rPr>
          <w:b/>
          <w:bCs/>
          <w:u w:val="thick"/>
        </w:rPr>
        <w:t>I.- Premières vues</w:t>
      </w:r>
      <w:r w:rsidRPr="006220AF">
        <w:rPr>
          <w:b/>
          <w:bCs/>
        </w:rPr>
        <w:t xml:space="preserve">. </w:t>
      </w:r>
      <w:r w:rsidRPr="006220AF">
        <w:t>Sûreté personnelle de référence, le cautionnement est le contrat par lequel une personne, la caution, s</w:t>
      </w:r>
      <w:r>
        <w:t>’</w:t>
      </w:r>
      <w:r w:rsidRPr="006220AF">
        <w:t>engage envers un créancier à payer la dette d</w:t>
      </w:r>
      <w:r>
        <w:t>’</w:t>
      </w:r>
      <w:r w:rsidRPr="006220AF">
        <w:t>un débiteur principal, en cas de défaillance de celui-ci.</w:t>
      </w:r>
    </w:p>
    <w:p w14:paraId="0739DB9C" w14:textId="77777777" w:rsidR="00C7630B" w:rsidRPr="006220AF" w:rsidRDefault="00C7630B" w:rsidP="00C7630B">
      <w:pPr>
        <w:spacing w:line="276" w:lineRule="auto"/>
      </w:pPr>
    </w:p>
    <w:p w14:paraId="51AAACBD" w14:textId="77777777" w:rsidR="00C7630B" w:rsidRDefault="00C7630B" w:rsidP="00C7630B">
      <w:pPr>
        <w:spacing w:line="276" w:lineRule="auto"/>
      </w:pPr>
      <w:r w:rsidRPr="006220AF">
        <w:rPr>
          <w:b/>
          <w:bCs/>
        </w:rPr>
        <w:t xml:space="preserve">Réforme du cautionnement. </w:t>
      </w:r>
      <w:r w:rsidRPr="006220AF">
        <w:t>Alors que l</w:t>
      </w:r>
      <w:r>
        <w:t>’</w:t>
      </w:r>
      <w:r w:rsidRPr="006220AF">
        <w:t>ordonnance du 23 mars 2006 n</w:t>
      </w:r>
      <w:r>
        <w:t>’</w:t>
      </w:r>
      <w:r w:rsidRPr="006220AF">
        <w:t>avait pas réformé le cautionnement, faute d</w:t>
      </w:r>
      <w:r>
        <w:t>’</w:t>
      </w:r>
      <w:r w:rsidRPr="006220AF">
        <w:t xml:space="preserve">habilitation législative, </w:t>
      </w:r>
      <w:r w:rsidRPr="006220AF">
        <w:rPr>
          <w:b/>
          <w:bCs/>
        </w:rPr>
        <w:t>l</w:t>
      </w:r>
      <w:r>
        <w:rPr>
          <w:b/>
          <w:bCs/>
        </w:rPr>
        <w:t>’</w:t>
      </w:r>
      <w:r w:rsidRPr="006220AF">
        <w:rPr>
          <w:b/>
          <w:bCs/>
        </w:rPr>
        <w:t>ordonnance n° 2021-1192 du 15 septembre 2021 portant réforme du droit des sûretés</w:t>
      </w:r>
      <w:r w:rsidRPr="006220AF">
        <w:t xml:space="preserve"> a transformé en profondeur le régime du contrat de cautionnement (C. civ., art. 2288 et suivants). La réforme du cautionnement était annoncée par la loi n° 2019-486 du 22 mai 2019, dite loi </w:t>
      </w:r>
      <w:r w:rsidRPr="006220AF">
        <w:rPr>
          <w:i/>
          <w:iCs/>
        </w:rPr>
        <w:t>Pacte</w:t>
      </w:r>
      <w:r w:rsidRPr="006220AF">
        <w:t>, qui avait autorisé le gouvernement à réformer par voie d</w:t>
      </w:r>
      <w:r>
        <w:t>’</w:t>
      </w:r>
      <w:r w:rsidRPr="006220AF">
        <w:t>ordonnance le droit des sûretés, dont le cautionnement, afin, notamment, de rendre le régime juridique de cette sûreté plus lisible, d</w:t>
      </w:r>
      <w:r>
        <w:t>’</w:t>
      </w:r>
      <w:r w:rsidRPr="006220AF">
        <w:t>en améliorer l</w:t>
      </w:r>
      <w:r>
        <w:t>’</w:t>
      </w:r>
      <w:r w:rsidRPr="006220AF">
        <w:t>efficacité et ce, tout en assurant la protection de la caution personne physique. Il est donc essentiel, sur chaque question relative au cautionnement, de maîtriser tant les règles anciennes que les règles nouvelles, afin de comprendre les évolutions de la matière et d</w:t>
      </w:r>
      <w:r>
        <w:t>’</w:t>
      </w:r>
      <w:r w:rsidRPr="006220AF">
        <w:t xml:space="preserve">apprécier leur portée. </w:t>
      </w:r>
    </w:p>
    <w:p w14:paraId="1BB1A9ED" w14:textId="77777777" w:rsidR="00C7630B" w:rsidRDefault="00C7630B" w:rsidP="00C7630B">
      <w:pPr>
        <w:spacing w:line="276" w:lineRule="auto"/>
      </w:pPr>
    </w:p>
    <w:p w14:paraId="09D0A5B8" w14:textId="77777777" w:rsidR="00C7630B" w:rsidRDefault="00C7630B" w:rsidP="00C7630B">
      <w:pPr>
        <w:spacing w:line="276" w:lineRule="auto"/>
      </w:pPr>
      <w:r w:rsidRPr="00532F2A">
        <w:rPr>
          <w:b/>
          <w:bCs/>
        </w:rPr>
        <w:t>Les dispositions issues de la réforme sont applicables aux contrats conclus à compter du 1</w:t>
      </w:r>
      <w:r w:rsidRPr="00532F2A">
        <w:rPr>
          <w:b/>
          <w:bCs/>
          <w:vertAlign w:val="superscript"/>
        </w:rPr>
        <w:t>er</w:t>
      </w:r>
      <w:r w:rsidRPr="00532F2A">
        <w:rPr>
          <w:b/>
          <w:bCs/>
        </w:rPr>
        <w:t xml:space="preserve"> janvier 2022</w:t>
      </w:r>
      <w:r w:rsidRPr="006220AF">
        <w:t>, mais les obligations d</w:t>
      </w:r>
      <w:r>
        <w:t>’</w:t>
      </w:r>
      <w:r w:rsidRPr="006220AF">
        <w:t>information, prévues aux articles 2302 à 2304 du Code civil, sont applicables dès l</w:t>
      </w:r>
      <w:r>
        <w:t>’</w:t>
      </w:r>
      <w:r w:rsidRPr="006220AF">
        <w:t>entrée en vigueur de l</w:t>
      </w:r>
      <w:r>
        <w:t>’</w:t>
      </w:r>
      <w:r w:rsidRPr="006220AF">
        <w:t>ordonnance, le 1</w:t>
      </w:r>
      <w:r w:rsidRPr="006220AF">
        <w:rPr>
          <w:vertAlign w:val="superscript"/>
        </w:rPr>
        <w:t>er</w:t>
      </w:r>
      <w:r w:rsidRPr="006220AF">
        <w:t xml:space="preserve"> janvier 2022, y compris aux cautionnements conclus antérieurement (Ord. </w:t>
      </w:r>
      <w:proofErr w:type="spellStart"/>
      <w:r w:rsidRPr="006220AF">
        <w:t>préc</w:t>
      </w:r>
      <w:proofErr w:type="spellEnd"/>
      <w:r w:rsidRPr="006220AF">
        <w:t>., art. 37, III).</w:t>
      </w:r>
    </w:p>
    <w:p w14:paraId="2472354C" w14:textId="77777777" w:rsidR="00C7630B" w:rsidRDefault="00C7630B" w:rsidP="00C7630B">
      <w:pPr>
        <w:spacing w:line="276" w:lineRule="auto"/>
      </w:pPr>
    </w:p>
    <w:p w14:paraId="4C7379F4" w14:textId="77777777" w:rsidR="00C7630B" w:rsidRPr="00481F8E" w:rsidRDefault="00C7630B" w:rsidP="00C7630B">
      <w:pPr>
        <w:spacing w:line="276" w:lineRule="auto"/>
        <w:rPr>
          <w:b/>
          <w:bCs/>
          <w:u w:val="thick"/>
        </w:rPr>
      </w:pPr>
      <w:r w:rsidRPr="00481F8E">
        <w:rPr>
          <w:b/>
          <w:bCs/>
          <w:u w:val="thick"/>
        </w:rPr>
        <w:t>II.- L’opération de cautionnement</w:t>
      </w:r>
      <w:r>
        <w:rPr>
          <w:b/>
          <w:bCs/>
          <w:u w:val="thick"/>
        </w:rPr>
        <w:t>.</w:t>
      </w:r>
      <w:r>
        <w:rPr>
          <w:b/>
          <w:bCs/>
        </w:rPr>
        <w:t xml:space="preserve"> </w:t>
      </w:r>
      <w:r w:rsidRPr="006220AF">
        <w:t>La caution s</w:t>
      </w:r>
      <w:r>
        <w:t>’</w:t>
      </w:r>
      <w:r w:rsidRPr="006220AF">
        <w:t>engageant à payer la dette du débiteur principal, en cas de défaillance de ce dernier, l</w:t>
      </w:r>
      <w:r>
        <w:t>’</w:t>
      </w:r>
      <w:r w:rsidRPr="006220AF">
        <w:t>obligation née du contrat de cautionnement constitue une obligation accessoire à l</w:t>
      </w:r>
      <w:r>
        <w:t>’</w:t>
      </w:r>
      <w:r w:rsidRPr="006220AF">
        <w:t xml:space="preserve">obligation principale. Plusieurs manifestations du </w:t>
      </w:r>
      <w:r w:rsidRPr="006220AF">
        <w:lastRenderedPageBreak/>
        <w:t>caractère accessoire doivent être relevées</w:t>
      </w:r>
      <w:r>
        <w:t> : d’abord, le cautionnement ne peut exister que sur une obligation valable ; ensuite, le cautionnement ne peut excéder ce qui est dû par le débiteur, ni être contracté à des conditions plus onéreuses ; enfin, la caution doit pouvoir opposer au créancier toutes les exceptions appartenant au débiteur principal</w:t>
      </w:r>
    </w:p>
    <w:p w14:paraId="051A5B36" w14:textId="77777777" w:rsidR="00C7630B" w:rsidRDefault="00C7630B" w:rsidP="00C7630B">
      <w:pPr>
        <w:pStyle w:val="Textebrut"/>
        <w:spacing w:before="120" w:after="120" w:line="276" w:lineRule="auto"/>
        <w:rPr>
          <w:rFonts w:ascii="Times New Roman" w:hAnsi="Times New Roman"/>
          <w:b/>
          <w:smallCaps/>
          <w:sz w:val="22"/>
          <w:szCs w:val="22"/>
        </w:rPr>
      </w:pPr>
    </w:p>
    <w:p w14:paraId="5F29EABA" w14:textId="77777777" w:rsidR="00C7630B" w:rsidRPr="006220AF" w:rsidRDefault="00C7630B" w:rsidP="00C7630B">
      <w:pPr>
        <w:spacing w:line="276" w:lineRule="auto"/>
      </w:pPr>
      <w:r>
        <w:t>Par ailleurs, vous savez que plusieurs</w:t>
      </w:r>
      <w:r w:rsidRPr="006220AF">
        <w:t xml:space="preserve"> figures de cautionnement doivent être distinguées.</w:t>
      </w:r>
      <w:r>
        <w:t xml:space="preserve"> </w:t>
      </w:r>
      <w:r w:rsidRPr="006220AF">
        <w:t>Le cautionnement peut être</w:t>
      </w:r>
      <w:r>
        <w:t xml:space="preserve"> </w:t>
      </w:r>
      <w:r w:rsidRPr="00202406">
        <w:rPr>
          <w:b/>
          <w:bCs/>
        </w:rPr>
        <w:t>simple ou solidaire</w:t>
      </w:r>
      <w:r w:rsidRPr="006220AF">
        <w:t>, la solidarité pouvant être stipulée entre le débiteur et la caution, ou entre les cofidéjusseurs</w:t>
      </w:r>
      <w:r>
        <w:t xml:space="preserve"> (C. civ., art. 2290).</w:t>
      </w:r>
    </w:p>
    <w:p w14:paraId="661EBFAE" w14:textId="77777777" w:rsidR="00C7630B" w:rsidRDefault="00C7630B" w:rsidP="00C7630B">
      <w:pPr>
        <w:spacing w:line="276" w:lineRule="auto"/>
      </w:pPr>
    </w:p>
    <w:p w14:paraId="44AC5572" w14:textId="77777777" w:rsidR="00C7630B" w:rsidRPr="001D41D7" w:rsidRDefault="00C7630B" w:rsidP="00C7630B">
      <w:pPr>
        <w:spacing w:line="276" w:lineRule="auto"/>
        <w:rPr>
          <w:sz w:val="20"/>
          <w:szCs w:val="20"/>
        </w:rPr>
      </w:pPr>
      <w:r w:rsidRPr="001D41D7">
        <w:rPr>
          <w:noProof/>
          <w:sz w:val="20"/>
          <w:szCs w:val="20"/>
        </w:rPr>
        <mc:AlternateContent>
          <mc:Choice Requires="wps">
            <w:drawing>
              <wp:anchor distT="0" distB="0" distL="114300" distR="114300" simplePos="0" relativeHeight="251662336" behindDoc="0" locked="0" layoutInCell="1" allowOverlap="1" wp14:anchorId="6BE7548C" wp14:editId="24A366F0">
                <wp:simplePos x="0" y="0"/>
                <wp:positionH relativeFrom="column">
                  <wp:posOffset>659728</wp:posOffset>
                </wp:positionH>
                <wp:positionV relativeFrom="paragraph">
                  <wp:posOffset>46317</wp:posOffset>
                </wp:positionV>
                <wp:extent cx="1488141" cy="125506"/>
                <wp:effectExtent l="0" t="12700" r="23495" b="27305"/>
                <wp:wrapNone/>
                <wp:docPr id="60218694" name="Flèche vers la droite 60218694"/>
                <wp:cNvGraphicFramePr/>
                <a:graphic xmlns:a="http://schemas.openxmlformats.org/drawingml/2006/main">
                  <a:graphicData uri="http://schemas.microsoft.com/office/word/2010/wordprocessingShape">
                    <wps:wsp>
                      <wps:cNvSpPr/>
                      <wps:spPr>
                        <a:xfrm>
                          <a:off x="0" y="0"/>
                          <a:ext cx="1488141" cy="125506"/>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08EA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vers la droite 60218694" o:spid="_x0000_s1026" type="#_x0000_t13" style="position:absolute;margin-left:51.95pt;margin-top:3.65pt;width:117.2pt;height:9.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" adj="20689" fillcolor="#196b24 [3206]" strokecolor="#0c3511 [1606]" strokeweight="1pt"/>
            </w:pict>
          </mc:Fallback>
        </mc:AlternateContent>
      </w:r>
      <w:r w:rsidRPr="001D41D7">
        <w:rPr>
          <w:sz w:val="20"/>
          <w:szCs w:val="20"/>
        </w:rPr>
        <w:t>Créancier</w:t>
      </w:r>
      <w:r w:rsidRPr="001D41D7">
        <w:rPr>
          <w:sz w:val="20"/>
          <w:szCs w:val="20"/>
        </w:rPr>
        <w:tab/>
      </w:r>
      <w:r w:rsidRPr="001D41D7">
        <w:rPr>
          <w:sz w:val="20"/>
          <w:szCs w:val="20"/>
        </w:rPr>
        <w:tab/>
      </w:r>
      <w:r w:rsidRPr="001D41D7">
        <w:rPr>
          <w:sz w:val="20"/>
          <w:szCs w:val="20"/>
        </w:rPr>
        <w:tab/>
      </w:r>
      <w:r w:rsidRPr="001D41D7">
        <w:rPr>
          <w:sz w:val="20"/>
          <w:szCs w:val="20"/>
        </w:rPr>
        <w:tab/>
        <w:t>Débiteur principal</w:t>
      </w:r>
    </w:p>
    <w:p w14:paraId="2256CB16" w14:textId="77777777" w:rsidR="00C7630B" w:rsidRPr="001D41D7" w:rsidRDefault="00C7630B" w:rsidP="00C7630B">
      <w:pPr>
        <w:spacing w:line="276" w:lineRule="auto"/>
        <w:rPr>
          <w:i/>
          <w:iCs/>
          <w:sz w:val="15"/>
          <w:szCs w:val="15"/>
        </w:rPr>
      </w:pPr>
      <w:r w:rsidRPr="001D41D7">
        <w:rPr>
          <w:noProof/>
          <w:sz w:val="20"/>
          <w:szCs w:val="20"/>
        </w:rPr>
        <mc:AlternateContent>
          <mc:Choice Requires="wps">
            <w:drawing>
              <wp:anchor distT="0" distB="0" distL="114300" distR="114300" simplePos="0" relativeHeight="251663360" behindDoc="0" locked="0" layoutInCell="1" allowOverlap="1" wp14:anchorId="2BB0C434" wp14:editId="3763CF84">
                <wp:simplePos x="0" y="0"/>
                <wp:positionH relativeFrom="column">
                  <wp:posOffset>660063</wp:posOffset>
                </wp:positionH>
                <wp:positionV relativeFrom="paragraph">
                  <wp:posOffset>35485</wp:posOffset>
                </wp:positionV>
                <wp:extent cx="1487805" cy="510989"/>
                <wp:effectExtent l="0" t="0" r="36195" b="48260"/>
                <wp:wrapNone/>
                <wp:docPr id="4" name="Connecteur droit avec flèche 4"/>
                <wp:cNvGraphicFramePr/>
                <a:graphic xmlns:a="http://schemas.openxmlformats.org/drawingml/2006/main">
                  <a:graphicData uri="http://schemas.microsoft.com/office/word/2010/wordprocessingShape">
                    <wps:wsp>
                      <wps:cNvCnPr/>
                      <wps:spPr>
                        <a:xfrm>
                          <a:off x="0" y="0"/>
                          <a:ext cx="1487805" cy="5109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B213C1" id="_x0000_t32" coordsize="21600,21600" o:spt="32" o:oned="t" path="m,l21600,21600e" filled="f">
                <v:path arrowok="t" fillok="f" o:connecttype="none"/>
                <o:lock v:ext="edit" shapetype="t"/>
              </v:shapetype>
              <v:shape id="Connecteur droit avec flèche 4" o:spid="_x0000_s1026" type="#_x0000_t32" style="position:absolute;margin-left:51.95pt;margin-top:2.8pt;width:117.15pt;height: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" strokecolor="black [3200]" strokeweight=".5pt">
                <v:stroke endarrow="block" joinstyle="miter"/>
              </v:shape>
            </w:pict>
          </mc:Fallback>
        </mc:AlternateContent>
      </w:r>
      <w:r w:rsidRPr="001D41D7">
        <w:rPr>
          <w:sz w:val="20"/>
          <w:szCs w:val="20"/>
        </w:rPr>
        <w:tab/>
        <w:t xml:space="preserve">              </w:t>
      </w:r>
      <w:r w:rsidRPr="001D41D7">
        <w:rPr>
          <w:i/>
          <w:iCs/>
          <w:sz w:val="15"/>
          <w:szCs w:val="15"/>
        </w:rPr>
        <w:t>Obligation principale</w:t>
      </w:r>
    </w:p>
    <w:p w14:paraId="76B9C835" w14:textId="77777777" w:rsidR="00C7630B" w:rsidRPr="001D41D7" w:rsidRDefault="00C7630B" w:rsidP="00C7630B">
      <w:pPr>
        <w:spacing w:line="276" w:lineRule="auto"/>
        <w:rPr>
          <w:sz w:val="20"/>
          <w:szCs w:val="20"/>
        </w:rPr>
      </w:pPr>
    </w:p>
    <w:p w14:paraId="50428274" w14:textId="77777777" w:rsidR="00C7630B" w:rsidRPr="001D41D7" w:rsidRDefault="00C7630B" w:rsidP="00C7630B">
      <w:pPr>
        <w:spacing w:line="276" w:lineRule="auto"/>
        <w:rPr>
          <w:sz w:val="20"/>
          <w:szCs w:val="20"/>
        </w:rPr>
      </w:pPr>
    </w:p>
    <w:p w14:paraId="229376E2" w14:textId="77777777" w:rsidR="00C7630B" w:rsidRPr="001D41D7" w:rsidRDefault="00C7630B" w:rsidP="00C7630B">
      <w:pPr>
        <w:spacing w:line="276" w:lineRule="auto"/>
        <w:rPr>
          <w:sz w:val="20"/>
          <w:szCs w:val="20"/>
        </w:rPr>
      </w:pPr>
      <w:r w:rsidRPr="001D41D7">
        <w:rPr>
          <w:sz w:val="20"/>
          <w:szCs w:val="20"/>
        </w:rPr>
        <w:tab/>
      </w:r>
      <w:r w:rsidRPr="001D41D7">
        <w:rPr>
          <w:sz w:val="20"/>
          <w:szCs w:val="20"/>
        </w:rPr>
        <w:tab/>
      </w:r>
      <w:r w:rsidRPr="001D41D7">
        <w:rPr>
          <w:sz w:val="20"/>
          <w:szCs w:val="20"/>
        </w:rPr>
        <w:tab/>
      </w:r>
      <w:r w:rsidRPr="001D41D7">
        <w:rPr>
          <w:sz w:val="20"/>
          <w:szCs w:val="20"/>
        </w:rPr>
        <w:tab/>
      </w:r>
      <w:r w:rsidRPr="001D41D7">
        <w:rPr>
          <w:sz w:val="20"/>
          <w:szCs w:val="20"/>
        </w:rPr>
        <w:tab/>
        <w:t>Caution</w:t>
      </w:r>
    </w:p>
    <w:p w14:paraId="0E446E4F" w14:textId="77777777" w:rsidR="00C7630B" w:rsidRPr="006220AF" w:rsidRDefault="00C7630B" w:rsidP="00C7630B">
      <w:pPr>
        <w:spacing w:line="276" w:lineRule="auto"/>
      </w:pPr>
    </w:p>
    <w:p w14:paraId="724874A2" w14:textId="77777777" w:rsidR="00C7630B" w:rsidRDefault="00C7630B" w:rsidP="00C7630B">
      <w:pPr>
        <w:spacing w:line="276" w:lineRule="auto"/>
      </w:pPr>
      <w:r w:rsidRPr="006220AF">
        <w:t xml:space="preserve">Le </w:t>
      </w:r>
      <w:r w:rsidRPr="00202406">
        <w:rPr>
          <w:b/>
          <w:bCs/>
        </w:rPr>
        <w:t>sous-cautionnement</w:t>
      </w:r>
      <w:r w:rsidRPr="006220AF">
        <w:t xml:space="preserve"> est le contrat par lequel une caution s</w:t>
      </w:r>
      <w:r>
        <w:t>’</w:t>
      </w:r>
      <w:r w:rsidRPr="006220AF">
        <w:t>engage à payer la dette du débiteur principal à l</w:t>
      </w:r>
      <w:r>
        <w:t>’</w:t>
      </w:r>
      <w:r w:rsidRPr="006220AF">
        <w:t>égard de la caution. En d</w:t>
      </w:r>
      <w:r>
        <w:t>’</w:t>
      </w:r>
      <w:r w:rsidRPr="006220AF">
        <w:t>autres termes, il garantit l</w:t>
      </w:r>
      <w:r>
        <w:t>’</w:t>
      </w:r>
      <w:r w:rsidRPr="006220AF">
        <w:t>exercice du recours après paiement de la caution contre le débiteur principal</w:t>
      </w:r>
      <w:r>
        <w:t xml:space="preserve"> (C. civ., art. 2291-1).</w:t>
      </w:r>
    </w:p>
    <w:p w14:paraId="60AF63EF" w14:textId="77777777" w:rsidR="00C7630B" w:rsidRDefault="00C7630B" w:rsidP="00C7630B">
      <w:pPr>
        <w:spacing w:line="276" w:lineRule="auto"/>
      </w:pPr>
    </w:p>
    <w:p w14:paraId="4399B60B" w14:textId="77777777" w:rsidR="00C7630B" w:rsidRPr="001D41D7" w:rsidRDefault="00C7630B" w:rsidP="00C7630B">
      <w:pPr>
        <w:spacing w:line="276" w:lineRule="auto"/>
        <w:rPr>
          <w:sz w:val="20"/>
          <w:szCs w:val="20"/>
        </w:rPr>
      </w:pPr>
      <w:r w:rsidRPr="001D41D7">
        <w:rPr>
          <w:noProof/>
          <w:sz w:val="20"/>
          <w:szCs w:val="20"/>
        </w:rPr>
        <mc:AlternateContent>
          <mc:Choice Requires="wps">
            <w:drawing>
              <wp:anchor distT="0" distB="0" distL="114300" distR="114300" simplePos="0" relativeHeight="251667456" behindDoc="0" locked="0" layoutInCell="1" allowOverlap="1" wp14:anchorId="0B1CBF84" wp14:editId="68EBE625">
                <wp:simplePos x="0" y="0"/>
                <wp:positionH relativeFrom="column">
                  <wp:posOffset>658495</wp:posOffset>
                </wp:positionH>
                <wp:positionV relativeFrom="paragraph">
                  <wp:posOffset>31115</wp:posOffset>
                </wp:positionV>
                <wp:extent cx="1488141" cy="125506"/>
                <wp:effectExtent l="0" t="12700" r="23495" b="27305"/>
                <wp:wrapNone/>
                <wp:docPr id="8" name="Flèche vers la droite 8"/>
                <wp:cNvGraphicFramePr/>
                <a:graphic xmlns:a="http://schemas.openxmlformats.org/drawingml/2006/main">
                  <a:graphicData uri="http://schemas.microsoft.com/office/word/2010/wordprocessingShape">
                    <wps:wsp>
                      <wps:cNvSpPr/>
                      <wps:spPr>
                        <a:xfrm>
                          <a:off x="0" y="0"/>
                          <a:ext cx="1488141" cy="125506"/>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135B66" id="Flèche vers la droite 8" o:spid="_x0000_s1026" type="#_x0000_t13" style="position:absolute;margin-left:51.85pt;margin-top:2.45pt;width:117.2pt;height:9.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" adj="20689" fillcolor="#196b24 [3206]" strokecolor="#0c3511 [1606]" strokeweight="1pt"/>
            </w:pict>
          </mc:Fallback>
        </mc:AlternateContent>
      </w:r>
      <w:r>
        <w:rPr>
          <w:sz w:val="20"/>
          <w:szCs w:val="20"/>
        </w:rPr>
        <w:t>Caution</w:t>
      </w:r>
      <w:r w:rsidRPr="001D41D7">
        <w:rPr>
          <w:sz w:val="20"/>
          <w:szCs w:val="20"/>
        </w:rPr>
        <w:tab/>
      </w:r>
      <w:r w:rsidRPr="001D41D7">
        <w:rPr>
          <w:sz w:val="20"/>
          <w:szCs w:val="20"/>
        </w:rPr>
        <w:tab/>
      </w:r>
      <w:r w:rsidRPr="001D41D7">
        <w:rPr>
          <w:sz w:val="20"/>
          <w:szCs w:val="20"/>
        </w:rPr>
        <w:tab/>
      </w:r>
      <w:r w:rsidRPr="001D41D7">
        <w:rPr>
          <w:sz w:val="20"/>
          <w:szCs w:val="20"/>
        </w:rPr>
        <w:tab/>
      </w:r>
      <w:r>
        <w:rPr>
          <w:sz w:val="20"/>
          <w:szCs w:val="20"/>
        </w:rPr>
        <w:tab/>
      </w:r>
      <w:r w:rsidRPr="001D41D7">
        <w:rPr>
          <w:sz w:val="20"/>
          <w:szCs w:val="20"/>
        </w:rPr>
        <w:t>Débiteur principal</w:t>
      </w:r>
    </w:p>
    <w:p w14:paraId="7AE9A540" w14:textId="77777777" w:rsidR="00C7630B" w:rsidRPr="001D41D7" w:rsidRDefault="00C7630B" w:rsidP="00C7630B">
      <w:pPr>
        <w:spacing w:line="276" w:lineRule="auto"/>
        <w:rPr>
          <w:i/>
          <w:iCs/>
          <w:sz w:val="15"/>
          <w:szCs w:val="15"/>
        </w:rPr>
      </w:pPr>
      <w:r w:rsidRPr="001D41D7">
        <w:rPr>
          <w:noProof/>
          <w:sz w:val="20"/>
          <w:szCs w:val="20"/>
        </w:rPr>
        <mc:AlternateContent>
          <mc:Choice Requires="wps">
            <w:drawing>
              <wp:anchor distT="0" distB="0" distL="114300" distR="114300" simplePos="0" relativeHeight="251668480" behindDoc="0" locked="0" layoutInCell="1" allowOverlap="1" wp14:anchorId="3CE90650" wp14:editId="52A401FA">
                <wp:simplePos x="0" y="0"/>
                <wp:positionH relativeFrom="column">
                  <wp:posOffset>660063</wp:posOffset>
                </wp:positionH>
                <wp:positionV relativeFrom="paragraph">
                  <wp:posOffset>35485</wp:posOffset>
                </wp:positionV>
                <wp:extent cx="1487805" cy="510989"/>
                <wp:effectExtent l="0" t="0" r="36195" b="48260"/>
                <wp:wrapNone/>
                <wp:docPr id="9" name="Connecteur droit avec flèche 9"/>
                <wp:cNvGraphicFramePr/>
                <a:graphic xmlns:a="http://schemas.openxmlformats.org/drawingml/2006/main">
                  <a:graphicData uri="http://schemas.microsoft.com/office/word/2010/wordprocessingShape">
                    <wps:wsp>
                      <wps:cNvCnPr/>
                      <wps:spPr>
                        <a:xfrm>
                          <a:off x="0" y="0"/>
                          <a:ext cx="1487805" cy="5109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444273" id="Connecteur droit avec flèche 9" o:spid="_x0000_s1026" type="#_x0000_t32" style="position:absolute;margin-left:51.95pt;margin-top:2.8pt;width:117.15pt;height:4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" strokecolor="black [3200]" strokeweight=".5pt">
                <v:stroke endarrow="block" joinstyle="miter"/>
              </v:shape>
            </w:pict>
          </mc:Fallback>
        </mc:AlternateContent>
      </w:r>
      <w:r w:rsidRPr="001D41D7">
        <w:rPr>
          <w:sz w:val="20"/>
          <w:szCs w:val="20"/>
        </w:rPr>
        <w:tab/>
        <w:t xml:space="preserve">              </w:t>
      </w:r>
      <w:r>
        <w:rPr>
          <w:i/>
          <w:iCs/>
          <w:sz w:val="15"/>
          <w:szCs w:val="15"/>
        </w:rPr>
        <w:t>Recours après paiement</w:t>
      </w:r>
    </w:p>
    <w:p w14:paraId="70757F9C" w14:textId="77777777" w:rsidR="00C7630B" w:rsidRPr="001D41D7" w:rsidRDefault="00C7630B" w:rsidP="00C7630B">
      <w:pPr>
        <w:spacing w:line="276" w:lineRule="auto"/>
        <w:rPr>
          <w:sz w:val="20"/>
          <w:szCs w:val="20"/>
        </w:rPr>
      </w:pPr>
    </w:p>
    <w:p w14:paraId="66AD6B25" w14:textId="77777777" w:rsidR="00C7630B" w:rsidRPr="001D41D7" w:rsidRDefault="00C7630B" w:rsidP="00C7630B">
      <w:pPr>
        <w:spacing w:line="276" w:lineRule="auto"/>
        <w:rPr>
          <w:sz w:val="20"/>
          <w:szCs w:val="20"/>
        </w:rPr>
      </w:pPr>
    </w:p>
    <w:p w14:paraId="25F464CD" w14:textId="77777777" w:rsidR="00C7630B" w:rsidRPr="001D41D7" w:rsidRDefault="00C7630B" w:rsidP="00C7630B">
      <w:pPr>
        <w:spacing w:line="276" w:lineRule="auto"/>
        <w:rPr>
          <w:sz w:val="20"/>
          <w:szCs w:val="20"/>
        </w:rPr>
      </w:pPr>
      <w:r w:rsidRPr="001D41D7">
        <w:rPr>
          <w:sz w:val="20"/>
          <w:szCs w:val="20"/>
        </w:rPr>
        <w:tab/>
      </w:r>
      <w:r w:rsidRPr="001D41D7">
        <w:rPr>
          <w:sz w:val="20"/>
          <w:szCs w:val="20"/>
        </w:rPr>
        <w:tab/>
      </w:r>
      <w:r w:rsidRPr="001D41D7">
        <w:rPr>
          <w:sz w:val="20"/>
          <w:szCs w:val="20"/>
        </w:rPr>
        <w:tab/>
      </w:r>
      <w:r w:rsidRPr="001D41D7">
        <w:rPr>
          <w:sz w:val="20"/>
          <w:szCs w:val="20"/>
        </w:rPr>
        <w:tab/>
      </w:r>
      <w:r w:rsidRPr="001D41D7">
        <w:rPr>
          <w:sz w:val="20"/>
          <w:szCs w:val="20"/>
        </w:rPr>
        <w:tab/>
      </w:r>
      <w:r>
        <w:rPr>
          <w:sz w:val="20"/>
          <w:szCs w:val="20"/>
        </w:rPr>
        <w:t>Sous-ca</w:t>
      </w:r>
      <w:r w:rsidRPr="001D41D7">
        <w:rPr>
          <w:sz w:val="20"/>
          <w:szCs w:val="20"/>
        </w:rPr>
        <w:t>ution</w:t>
      </w:r>
    </w:p>
    <w:p w14:paraId="2BCBD7B4" w14:textId="77777777" w:rsidR="00C7630B" w:rsidRDefault="00C7630B" w:rsidP="00C7630B">
      <w:pPr>
        <w:spacing w:line="276" w:lineRule="auto"/>
      </w:pPr>
    </w:p>
    <w:p w14:paraId="461ED5F4" w14:textId="77777777" w:rsidR="00C7630B" w:rsidRDefault="00C7630B" w:rsidP="00C7630B">
      <w:pPr>
        <w:spacing w:line="276" w:lineRule="auto"/>
        <w:rPr>
          <w:b/>
          <w:bCs/>
        </w:rPr>
      </w:pPr>
      <w:r w:rsidRPr="006220AF">
        <w:t xml:space="preserve">Le </w:t>
      </w:r>
      <w:r w:rsidRPr="00202406">
        <w:rPr>
          <w:b/>
          <w:bCs/>
        </w:rPr>
        <w:t>certificat de caution</w:t>
      </w:r>
      <w:r w:rsidRPr="006220AF">
        <w:t>, enfin, est le contrat par lequel une caution s</w:t>
      </w:r>
      <w:r>
        <w:t>’</w:t>
      </w:r>
      <w:r w:rsidRPr="006220AF">
        <w:t>engage, envers le créancier, à exécuter l</w:t>
      </w:r>
      <w:r>
        <w:t>’</w:t>
      </w:r>
      <w:r w:rsidRPr="006220AF">
        <w:t>obligation de la caution au cas où celle-ci serait défaillante</w:t>
      </w:r>
      <w:r>
        <w:t xml:space="preserve"> (C. civ., art. 2291).</w:t>
      </w:r>
    </w:p>
    <w:p w14:paraId="2802C902" w14:textId="77777777" w:rsidR="00C7630B" w:rsidRPr="001D41D7" w:rsidRDefault="00C7630B" w:rsidP="00C7630B">
      <w:pPr>
        <w:spacing w:line="276" w:lineRule="auto"/>
        <w:rPr>
          <w:sz w:val="20"/>
          <w:szCs w:val="20"/>
        </w:rPr>
      </w:pPr>
      <w:r w:rsidRPr="001D41D7">
        <w:rPr>
          <w:noProof/>
          <w:sz w:val="20"/>
          <w:szCs w:val="20"/>
        </w:rPr>
        <mc:AlternateContent>
          <mc:Choice Requires="wps">
            <w:drawing>
              <wp:anchor distT="0" distB="0" distL="114300" distR="114300" simplePos="0" relativeHeight="251664384" behindDoc="0" locked="0" layoutInCell="1" allowOverlap="1" wp14:anchorId="78ECC8A1" wp14:editId="2ED9CF83">
                <wp:simplePos x="0" y="0"/>
                <wp:positionH relativeFrom="column">
                  <wp:posOffset>659728</wp:posOffset>
                </wp:positionH>
                <wp:positionV relativeFrom="paragraph">
                  <wp:posOffset>46317</wp:posOffset>
                </wp:positionV>
                <wp:extent cx="1488141" cy="125506"/>
                <wp:effectExtent l="0" t="12700" r="23495" b="27305"/>
                <wp:wrapNone/>
                <wp:docPr id="5" name="Flèche vers la droite 5"/>
                <wp:cNvGraphicFramePr/>
                <a:graphic xmlns:a="http://schemas.openxmlformats.org/drawingml/2006/main">
                  <a:graphicData uri="http://schemas.microsoft.com/office/word/2010/wordprocessingShape">
                    <wps:wsp>
                      <wps:cNvSpPr/>
                      <wps:spPr>
                        <a:xfrm>
                          <a:off x="0" y="0"/>
                          <a:ext cx="1488141" cy="125506"/>
                        </a:xfrm>
                        <a:prstGeom prst="rightArrow">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4BB9C0" id="Flèche vers la droite 5" o:spid="_x0000_s1026" type="#_x0000_t13" style="position:absolute;margin-left:51.95pt;margin-top:3.65pt;width:117.2pt;height:9.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" adj="20689" fillcolor="#196b24 [3206]" strokecolor="#0c3511 [1606]" strokeweight="1pt"/>
            </w:pict>
          </mc:Fallback>
        </mc:AlternateContent>
      </w:r>
      <w:r w:rsidRPr="001D41D7">
        <w:rPr>
          <w:sz w:val="20"/>
          <w:szCs w:val="20"/>
        </w:rPr>
        <w:t>Créancier</w:t>
      </w:r>
      <w:r w:rsidRPr="001D41D7">
        <w:rPr>
          <w:sz w:val="20"/>
          <w:szCs w:val="20"/>
        </w:rPr>
        <w:tab/>
      </w:r>
      <w:r w:rsidRPr="001D41D7">
        <w:rPr>
          <w:sz w:val="20"/>
          <w:szCs w:val="20"/>
        </w:rPr>
        <w:tab/>
      </w:r>
      <w:r w:rsidRPr="001D41D7">
        <w:rPr>
          <w:sz w:val="20"/>
          <w:szCs w:val="20"/>
        </w:rPr>
        <w:tab/>
      </w:r>
      <w:r w:rsidRPr="001D41D7">
        <w:rPr>
          <w:sz w:val="20"/>
          <w:szCs w:val="20"/>
        </w:rPr>
        <w:tab/>
        <w:t>Débiteur principal</w:t>
      </w:r>
    </w:p>
    <w:p w14:paraId="0DE623A0" w14:textId="77777777" w:rsidR="00C7630B" w:rsidRDefault="00C7630B" w:rsidP="00C7630B">
      <w:pPr>
        <w:spacing w:line="276" w:lineRule="auto"/>
        <w:rPr>
          <w:i/>
          <w:iCs/>
          <w:sz w:val="20"/>
          <w:szCs w:val="20"/>
        </w:rPr>
      </w:pPr>
      <w:r w:rsidRPr="001D41D7">
        <w:rPr>
          <w:noProof/>
          <w:sz w:val="20"/>
          <w:szCs w:val="20"/>
        </w:rPr>
        <mc:AlternateContent>
          <mc:Choice Requires="wps">
            <w:drawing>
              <wp:anchor distT="0" distB="0" distL="114300" distR="114300" simplePos="0" relativeHeight="251665408" behindDoc="0" locked="0" layoutInCell="1" allowOverlap="1" wp14:anchorId="74FA945A" wp14:editId="4C1A30A3">
                <wp:simplePos x="0" y="0"/>
                <wp:positionH relativeFrom="column">
                  <wp:posOffset>660063</wp:posOffset>
                </wp:positionH>
                <wp:positionV relativeFrom="paragraph">
                  <wp:posOffset>98389</wp:posOffset>
                </wp:positionV>
                <wp:extent cx="1487805" cy="457200"/>
                <wp:effectExtent l="0" t="0" r="23495" b="50800"/>
                <wp:wrapNone/>
                <wp:docPr id="6" name="Connecteur droit avec flèche 6"/>
                <wp:cNvGraphicFramePr/>
                <a:graphic xmlns:a="http://schemas.openxmlformats.org/drawingml/2006/main">
                  <a:graphicData uri="http://schemas.microsoft.com/office/word/2010/wordprocessingShape">
                    <wps:wsp>
                      <wps:cNvCnPr/>
                      <wps:spPr>
                        <a:xfrm>
                          <a:off x="0" y="0"/>
                          <a:ext cx="1487805"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54A571" id="Connecteur droit avec flèche 6" o:spid="_x0000_s1026" type="#_x0000_t32" style="position:absolute;margin-left:51.95pt;margin-top:7.75pt;width:117.1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" strokecolor="black [3200]" strokeweight=".5pt">
                <v:stroke endarrow="block" joinstyle="miter"/>
              </v:shape>
            </w:pict>
          </mc:Fallback>
        </mc:AlternateContent>
      </w:r>
      <w:r w:rsidRPr="001D41D7">
        <w:rPr>
          <w:sz w:val="20"/>
          <w:szCs w:val="20"/>
        </w:rPr>
        <w:tab/>
        <w:t xml:space="preserve">              </w:t>
      </w:r>
      <w:r w:rsidRPr="001D41D7">
        <w:rPr>
          <w:i/>
          <w:iCs/>
          <w:sz w:val="20"/>
          <w:szCs w:val="20"/>
        </w:rPr>
        <w:t>Obligation principale</w:t>
      </w:r>
    </w:p>
    <w:p w14:paraId="50F1790E" w14:textId="77777777" w:rsidR="00C7630B" w:rsidRPr="00481F8E" w:rsidRDefault="00C7630B" w:rsidP="00C7630B">
      <w:pPr>
        <w:spacing w:line="276" w:lineRule="auto"/>
        <w:rPr>
          <w:i/>
          <w:iCs/>
          <w:sz w:val="20"/>
          <w:szCs w:val="20"/>
        </w:rPr>
      </w:pPr>
      <w:r w:rsidRPr="001D41D7">
        <w:rPr>
          <w:noProof/>
          <w:sz w:val="20"/>
          <w:szCs w:val="20"/>
        </w:rPr>
        <mc:AlternateContent>
          <mc:Choice Requires="wps">
            <w:drawing>
              <wp:anchor distT="0" distB="0" distL="114300" distR="114300" simplePos="0" relativeHeight="251666432" behindDoc="0" locked="0" layoutInCell="1" allowOverlap="1" wp14:anchorId="23C8C571" wp14:editId="684B4CED">
                <wp:simplePos x="0" y="0"/>
                <wp:positionH relativeFrom="column">
                  <wp:posOffset>660064</wp:posOffset>
                </wp:positionH>
                <wp:positionV relativeFrom="paragraph">
                  <wp:posOffset>56254</wp:posOffset>
                </wp:positionV>
                <wp:extent cx="1927337" cy="618564"/>
                <wp:effectExtent l="0" t="0" r="53975" b="54610"/>
                <wp:wrapNone/>
                <wp:docPr id="7" name="Connecteur droit avec flèche 7"/>
                <wp:cNvGraphicFramePr/>
                <a:graphic xmlns:a="http://schemas.openxmlformats.org/drawingml/2006/main">
                  <a:graphicData uri="http://schemas.microsoft.com/office/word/2010/wordprocessingShape">
                    <wps:wsp>
                      <wps:cNvCnPr/>
                      <wps:spPr>
                        <a:xfrm>
                          <a:off x="0" y="0"/>
                          <a:ext cx="1927337" cy="61856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5AB139" id="Connecteur droit avec flèche 7" o:spid="_x0000_s1026" type="#_x0000_t32" style="position:absolute;margin-left:51.95pt;margin-top:4.45pt;width:151.75pt;height:4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" strokecolor="black [3213]" strokeweight=".5pt">
                <v:stroke endarrow="block" joinstyle="miter"/>
              </v:shape>
            </w:pict>
          </mc:Fallback>
        </mc:AlternateContent>
      </w:r>
    </w:p>
    <w:p w14:paraId="5ABDF64F" w14:textId="77777777" w:rsidR="00C7630B" w:rsidRPr="001D41D7" w:rsidRDefault="00C7630B" w:rsidP="00C7630B">
      <w:pPr>
        <w:spacing w:line="276" w:lineRule="auto"/>
        <w:rPr>
          <w:sz w:val="20"/>
          <w:szCs w:val="20"/>
        </w:rPr>
      </w:pPr>
      <w:r w:rsidRPr="001D41D7">
        <w:rPr>
          <w:sz w:val="20"/>
          <w:szCs w:val="20"/>
        </w:rPr>
        <w:tab/>
      </w:r>
      <w:r w:rsidRPr="001D41D7">
        <w:rPr>
          <w:sz w:val="20"/>
          <w:szCs w:val="20"/>
        </w:rPr>
        <w:tab/>
      </w:r>
      <w:r w:rsidRPr="001D41D7">
        <w:rPr>
          <w:sz w:val="20"/>
          <w:szCs w:val="20"/>
        </w:rPr>
        <w:tab/>
      </w:r>
      <w:r w:rsidRPr="001D41D7">
        <w:rPr>
          <w:sz w:val="20"/>
          <w:szCs w:val="20"/>
        </w:rPr>
        <w:tab/>
      </w:r>
      <w:r w:rsidRPr="001D41D7">
        <w:rPr>
          <w:sz w:val="20"/>
          <w:szCs w:val="20"/>
        </w:rPr>
        <w:tab/>
        <w:t>Caution</w:t>
      </w:r>
    </w:p>
    <w:p w14:paraId="449F27F0" w14:textId="77777777" w:rsidR="00C7630B" w:rsidRPr="001D41D7" w:rsidRDefault="00C7630B" w:rsidP="00C7630B">
      <w:pPr>
        <w:spacing w:line="276" w:lineRule="auto"/>
        <w:rPr>
          <w:sz w:val="20"/>
          <w:szCs w:val="20"/>
        </w:rPr>
      </w:pPr>
    </w:p>
    <w:p w14:paraId="28CC09F7" w14:textId="77777777" w:rsidR="00C7630B" w:rsidRDefault="00C7630B" w:rsidP="00C7630B">
      <w:pPr>
        <w:spacing w:line="276" w:lineRule="auto"/>
        <w:rPr>
          <w:sz w:val="20"/>
          <w:szCs w:val="20"/>
        </w:rPr>
      </w:pPr>
      <w:r w:rsidRPr="001D41D7">
        <w:rPr>
          <w:sz w:val="20"/>
          <w:szCs w:val="20"/>
        </w:rPr>
        <w:tab/>
      </w:r>
      <w:r w:rsidRPr="001D41D7">
        <w:rPr>
          <w:sz w:val="20"/>
          <w:szCs w:val="20"/>
        </w:rPr>
        <w:tab/>
      </w:r>
      <w:r w:rsidRPr="001D41D7">
        <w:rPr>
          <w:sz w:val="20"/>
          <w:szCs w:val="20"/>
        </w:rPr>
        <w:tab/>
      </w:r>
      <w:r w:rsidRPr="001D41D7">
        <w:rPr>
          <w:sz w:val="20"/>
          <w:szCs w:val="20"/>
        </w:rPr>
        <w:tab/>
      </w:r>
      <w:r>
        <w:rPr>
          <w:sz w:val="20"/>
          <w:szCs w:val="20"/>
        </w:rPr>
        <w:tab/>
      </w:r>
      <w:r>
        <w:rPr>
          <w:sz w:val="20"/>
          <w:szCs w:val="20"/>
        </w:rPr>
        <w:tab/>
        <w:t xml:space="preserve"> </w:t>
      </w:r>
      <w:r w:rsidRPr="001D41D7">
        <w:rPr>
          <w:sz w:val="20"/>
          <w:szCs w:val="20"/>
        </w:rPr>
        <w:t>Certificat de caution</w:t>
      </w:r>
    </w:p>
    <w:p w14:paraId="36A71229" w14:textId="77777777" w:rsidR="00C7630B" w:rsidRPr="006220AF" w:rsidRDefault="00C7630B" w:rsidP="00C7630B">
      <w:pPr>
        <w:spacing w:line="276" w:lineRule="auto"/>
      </w:pPr>
      <w:r>
        <w:rPr>
          <w:b/>
          <w:bCs/>
          <w:u w:val="thick"/>
        </w:rPr>
        <w:lastRenderedPageBreak/>
        <w:t xml:space="preserve">III. </w:t>
      </w:r>
      <w:r w:rsidRPr="00872EC3">
        <w:rPr>
          <w:b/>
          <w:bCs/>
          <w:u w:val="thick"/>
        </w:rPr>
        <w:t>Les évolutions du formalisme du contrat de cautionnement</w:t>
      </w:r>
      <w:r w:rsidRPr="006220AF">
        <w:rPr>
          <w:b/>
          <w:bCs/>
        </w:rPr>
        <w:t>.</w:t>
      </w:r>
      <w:r w:rsidRPr="006220AF">
        <w:t xml:space="preserve"> La caution doit, traditionnellement, apposer une mention manuscrite dans l</w:t>
      </w:r>
      <w:r>
        <w:t>’</w:t>
      </w:r>
      <w:r w:rsidRPr="006220AF">
        <w:t>acte de cautionnement de la somme en toutes lettres et en chiffres qu</w:t>
      </w:r>
      <w:r>
        <w:t>’</w:t>
      </w:r>
      <w:r w:rsidRPr="006220AF">
        <w:t>elle s</w:t>
      </w:r>
      <w:r>
        <w:t>’</w:t>
      </w:r>
      <w:r w:rsidRPr="006220AF">
        <w:t>engage à payer. Si cette mention est requise à des fins probatoires (C. civ., art. 1376), le législateur a ensuite imposé l</w:t>
      </w:r>
      <w:r>
        <w:t>’</w:t>
      </w:r>
      <w:r w:rsidRPr="006220AF">
        <w:t xml:space="preserve">insertion de mentions, requises pour la validité même du contrat, notamment lorsque celui-ci est conclu entre une caution personne physique et un créancier professionnel. </w:t>
      </w:r>
    </w:p>
    <w:p w14:paraId="42708909" w14:textId="77777777" w:rsidR="00C7630B" w:rsidRPr="006220AF" w:rsidRDefault="00C7630B" w:rsidP="00C7630B">
      <w:pPr>
        <w:spacing w:line="276" w:lineRule="auto"/>
      </w:pPr>
    </w:p>
    <w:p w14:paraId="7245E573" w14:textId="77777777" w:rsidR="00C7630B" w:rsidRPr="006220AF" w:rsidRDefault="00C7630B" w:rsidP="00C7630B">
      <w:pPr>
        <w:spacing w:line="276" w:lineRule="auto"/>
      </w:pPr>
      <w:r w:rsidRPr="006220AF">
        <w:rPr>
          <w:b/>
          <w:bCs/>
          <w:u w:val="thick"/>
          <w:lang w:val="en-US"/>
        </w:rPr>
        <w:t xml:space="preserve">Doc. n° </w:t>
      </w:r>
      <w:r>
        <w:rPr>
          <w:b/>
          <w:bCs/>
          <w:u w:val="thick"/>
          <w:lang w:val="en-US"/>
        </w:rPr>
        <w:t>1</w:t>
      </w:r>
      <w:r w:rsidRPr="006220AF">
        <w:rPr>
          <w:lang w:val="en-US"/>
        </w:rPr>
        <w:t xml:space="preserve"> : C. </w:t>
      </w:r>
      <w:proofErr w:type="spellStart"/>
      <w:r w:rsidRPr="006220AF">
        <w:rPr>
          <w:lang w:val="en-US"/>
        </w:rPr>
        <w:t>conso</w:t>
      </w:r>
      <w:proofErr w:type="spellEnd"/>
      <w:r w:rsidRPr="006220AF">
        <w:rPr>
          <w:lang w:val="en-US"/>
        </w:rPr>
        <w:t xml:space="preserve">., </w:t>
      </w:r>
      <w:r>
        <w:rPr>
          <w:lang w:val="en-US"/>
        </w:rPr>
        <w:t xml:space="preserve">anc. </w:t>
      </w:r>
      <w:r w:rsidRPr="006220AF">
        <w:rPr>
          <w:lang w:val="en-US"/>
        </w:rPr>
        <w:t xml:space="preserve">art. </w:t>
      </w:r>
      <w:r w:rsidRPr="004102FE">
        <w:t xml:space="preserve">L. 331-1 et art. </w:t>
      </w:r>
      <w:r w:rsidRPr="006220AF">
        <w:t>L. 331-2.</w:t>
      </w:r>
    </w:p>
    <w:p w14:paraId="7E805C0B" w14:textId="77777777" w:rsidR="00C7630B" w:rsidRPr="006220AF" w:rsidRDefault="00C7630B" w:rsidP="00C7630B">
      <w:pPr>
        <w:spacing w:line="276" w:lineRule="auto"/>
      </w:pPr>
    </w:p>
    <w:p w14:paraId="1D580829" w14:textId="77777777" w:rsidR="00C7630B" w:rsidRPr="006220AF" w:rsidRDefault="00C7630B" w:rsidP="00C7630B">
      <w:pPr>
        <w:spacing w:line="276" w:lineRule="auto"/>
      </w:pPr>
      <w:r w:rsidRPr="006220AF">
        <w:t xml:space="preserve">Or le développement de ce formalisme a engendré un inépuisable contentieux, toute irrégularité dans la reproduction de la mention étant de nature à entraîner la nullité du cautionnement. Pour autant, </w:t>
      </w:r>
      <w:r w:rsidRPr="006220AF">
        <w:rPr>
          <w:b/>
          <w:bCs/>
        </w:rPr>
        <w:t>la jurisprudence a progressivement cantonné cette sanction</w:t>
      </w:r>
      <w:r w:rsidRPr="006220AF">
        <w:t>. Plutôt que d</w:t>
      </w:r>
      <w:r>
        <w:t>’</w:t>
      </w:r>
      <w:r w:rsidRPr="006220AF">
        <w:t>annuler systématiquement les cautionnements ne comportant pas l</w:t>
      </w:r>
      <w:r>
        <w:t>’</w:t>
      </w:r>
      <w:r w:rsidRPr="006220AF">
        <w:t>exacte mention requise, d</w:t>
      </w:r>
      <w:r>
        <w:t>’</w:t>
      </w:r>
      <w:r w:rsidRPr="006220AF">
        <w:t>une part, certaines erreurs ont été tolérées et, d</w:t>
      </w:r>
      <w:r>
        <w:t>’</w:t>
      </w:r>
      <w:r w:rsidRPr="006220AF">
        <w:t>autre part, l</w:t>
      </w:r>
      <w:r>
        <w:t>’</w:t>
      </w:r>
      <w:r w:rsidRPr="006220AF">
        <w:t>engagement des cautions a été modulé en fonction du contenu de la mention.</w:t>
      </w:r>
    </w:p>
    <w:p w14:paraId="553DD19A" w14:textId="77777777" w:rsidR="00C7630B" w:rsidRPr="006220AF" w:rsidRDefault="00C7630B" w:rsidP="00C7630B">
      <w:pPr>
        <w:spacing w:line="276" w:lineRule="auto"/>
      </w:pPr>
    </w:p>
    <w:p w14:paraId="3F9EF070" w14:textId="77777777" w:rsidR="00C7630B" w:rsidRPr="006220AF" w:rsidRDefault="00C7630B" w:rsidP="00C7630B">
      <w:pPr>
        <w:spacing w:line="276" w:lineRule="auto"/>
      </w:pPr>
      <w:r w:rsidRPr="006220AF">
        <w:rPr>
          <w:b/>
          <w:bCs/>
          <w:u w:val="thick"/>
        </w:rPr>
        <w:t xml:space="preserve">Doc. n° </w:t>
      </w:r>
      <w:r>
        <w:rPr>
          <w:b/>
          <w:bCs/>
          <w:u w:val="thick"/>
        </w:rPr>
        <w:t>2</w:t>
      </w:r>
      <w:r w:rsidRPr="006220AF">
        <w:t> : Cass. civ. 1</w:t>
      </w:r>
      <w:r w:rsidRPr="006220AF">
        <w:rPr>
          <w:vertAlign w:val="superscript"/>
        </w:rPr>
        <w:t>ère</w:t>
      </w:r>
      <w:r w:rsidRPr="006220AF">
        <w:t>, 10 avr. 2013, n° 12-18.544</w:t>
      </w:r>
    </w:p>
    <w:p w14:paraId="4F7ADD51" w14:textId="77777777" w:rsidR="00C7630B" w:rsidRPr="006220AF" w:rsidRDefault="00C7630B" w:rsidP="00C7630B">
      <w:pPr>
        <w:spacing w:line="276" w:lineRule="auto"/>
        <w:rPr>
          <w:lang w:val="en-US"/>
        </w:rPr>
      </w:pPr>
      <w:r w:rsidRPr="006220AF">
        <w:rPr>
          <w:b/>
          <w:bCs/>
          <w:u w:val="thick"/>
          <w:lang w:val="en-US"/>
        </w:rPr>
        <w:t xml:space="preserve">Doc. n° </w:t>
      </w:r>
      <w:r>
        <w:rPr>
          <w:b/>
          <w:bCs/>
          <w:u w:val="thick"/>
          <w:lang w:val="en-US"/>
        </w:rPr>
        <w:t>3</w:t>
      </w:r>
      <w:r w:rsidRPr="006220AF">
        <w:rPr>
          <w:lang w:val="en-US"/>
        </w:rPr>
        <w:t xml:space="preserve"> : Cass. com., 12 </w:t>
      </w:r>
      <w:proofErr w:type="spellStart"/>
      <w:r w:rsidRPr="006220AF">
        <w:rPr>
          <w:lang w:val="en-US"/>
        </w:rPr>
        <w:t>nov.</w:t>
      </w:r>
      <w:proofErr w:type="spellEnd"/>
      <w:r w:rsidRPr="006220AF">
        <w:rPr>
          <w:lang w:val="en-US"/>
        </w:rPr>
        <w:t xml:space="preserve"> 2020, n° 19-15.893 </w:t>
      </w:r>
    </w:p>
    <w:p w14:paraId="37894418" w14:textId="77777777" w:rsidR="00C7630B" w:rsidRPr="006220AF" w:rsidRDefault="00C7630B" w:rsidP="00C7630B">
      <w:pPr>
        <w:spacing w:line="276" w:lineRule="auto"/>
        <w:rPr>
          <w:lang w:val="en-US"/>
        </w:rPr>
      </w:pPr>
      <w:r w:rsidRPr="006220AF">
        <w:rPr>
          <w:b/>
          <w:bCs/>
          <w:u w:val="thick"/>
          <w:lang w:val="en-US"/>
        </w:rPr>
        <w:t xml:space="preserve">Doc. n° </w:t>
      </w:r>
      <w:r>
        <w:rPr>
          <w:b/>
          <w:bCs/>
          <w:u w:val="thick"/>
          <w:lang w:val="en-US"/>
        </w:rPr>
        <w:t>4</w:t>
      </w:r>
      <w:r w:rsidRPr="006220AF">
        <w:rPr>
          <w:lang w:val="en-US"/>
        </w:rPr>
        <w:t xml:space="preserve"> : Cass. com., 4 </w:t>
      </w:r>
      <w:proofErr w:type="spellStart"/>
      <w:r w:rsidRPr="006220AF">
        <w:rPr>
          <w:lang w:val="en-US"/>
        </w:rPr>
        <w:t>nov.</w:t>
      </w:r>
      <w:proofErr w:type="spellEnd"/>
      <w:r w:rsidRPr="006220AF">
        <w:rPr>
          <w:lang w:val="en-US"/>
        </w:rPr>
        <w:t xml:space="preserve"> 2014, n° 13-24.706</w:t>
      </w:r>
    </w:p>
    <w:p w14:paraId="28061421" w14:textId="77777777" w:rsidR="00C7630B" w:rsidRPr="006220AF" w:rsidRDefault="00C7630B" w:rsidP="00C7630B">
      <w:pPr>
        <w:spacing w:line="276" w:lineRule="auto"/>
        <w:rPr>
          <w:lang w:val="en-US"/>
        </w:rPr>
      </w:pPr>
      <w:r w:rsidRPr="006220AF">
        <w:rPr>
          <w:b/>
          <w:bCs/>
          <w:u w:val="thick"/>
          <w:lang w:val="en-US"/>
        </w:rPr>
        <w:t xml:space="preserve">Doc. n° </w:t>
      </w:r>
      <w:r>
        <w:rPr>
          <w:b/>
          <w:bCs/>
          <w:u w:val="thick"/>
          <w:lang w:val="en-US"/>
        </w:rPr>
        <w:t>5</w:t>
      </w:r>
      <w:r w:rsidRPr="006220AF">
        <w:rPr>
          <w:lang w:val="en-US"/>
        </w:rPr>
        <w:t> : Cass. com., 23 oct. 2019, n° 18-11.825</w:t>
      </w:r>
    </w:p>
    <w:p w14:paraId="0C3EED70" w14:textId="77777777" w:rsidR="00C7630B" w:rsidRPr="006220AF" w:rsidRDefault="00C7630B" w:rsidP="00C7630B">
      <w:pPr>
        <w:spacing w:line="276" w:lineRule="auto"/>
        <w:rPr>
          <w:lang w:val="en-US"/>
        </w:rPr>
      </w:pPr>
    </w:p>
    <w:p w14:paraId="6527A50C" w14:textId="77777777" w:rsidR="00C7630B" w:rsidRPr="006220AF" w:rsidRDefault="00C7630B" w:rsidP="00C7630B">
      <w:pPr>
        <w:spacing w:line="276" w:lineRule="auto"/>
      </w:pPr>
      <w:r w:rsidRPr="006220AF">
        <w:t>Fréquemment critiqué, en ce qu</w:t>
      </w:r>
      <w:r>
        <w:t>’</w:t>
      </w:r>
      <w:r w:rsidRPr="006220AF">
        <w:t>il affecterait l</w:t>
      </w:r>
      <w:r>
        <w:t>’</w:t>
      </w:r>
      <w:r w:rsidRPr="006220AF">
        <w:t xml:space="preserve">efficacité du cautionnement, </w:t>
      </w:r>
      <w:r w:rsidRPr="006220AF">
        <w:rPr>
          <w:b/>
          <w:bCs/>
        </w:rPr>
        <w:t>le formalisme évolue avec l</w:t>
      </w:r>
      <w:r>
        <w:rPr>
          <w:b/>
          <w:bCs/>
        </w:rPr>
        <w:t>’</w:t>
      </w:r>
      <w:r w:rsidRPr="006220AF">
        <w:rPr>
          <w:b/>
          <w:bCs/>
        </w:rPr>
        <w:t>ordonnance n° 2021-1192 du 15 septembre 2021</w:t>
      </w:r>
      <w:r w:rsidRPr="006220AF">
        <w:t>. Désormais, la mention – qui peut n</w:t>
      </w:r>
      <w:r>
        <w:t>’</w:t>
      </w:r>
      <w:r w:rsidRPr="006220AF">
        <w:t>être pas manuscrite et qui doit être insérée dans tout contrat conclu entre une caution personne physique et tout créancier, même non professionnel – ne consiste plus à reproduire précisément une formule légale prédéterminée. Pour autant, cela mettra-t-il un terme au contentieux jusque-là observé ?</w:t>
      </w:r>
    </w:p>
    <w:p w14:paraId="3CF3A283" w14:textId="77777777" w:rsidR="00C7630B" w:rsidRPr="006220AF" w:rsidRDefault="00C7630B" w:rsidP="00C7630B">
      <w:pPr>
        <w:spacing w:line="276" w:lineRule="auto"/>
      </w:pPr>
    </w:p>
    <w:p w14:paraId="69AE5DAB" w14:textId="77777777" w:rsidR="00C7630B" w:rsidRPr="006220AF" w:rsidRDefault="00C7630B" w:rsidP="00C7630B">
      <w:pPr>
        <w:spacing w:line="276" w:lineRule="auto"/>
        <w:rPr>
          <w:lang w:val="en-US"/>
        </w:rPr>
      </w:pPr>
      <w:r w:rsidRPr="006220AF">
        <w:rPr>
          <w:b/>
          <w:bCs/>
          <w:u w:val="thick"/>
          <w:lang w:val="en-US"/>
        </w:rPr>
        <w:t xml:space="preserve">Doc. n° </w:t>
      </w:r>
      <w:r>
        <w:rPr>
          <w:b/>
          <w:bCs/>
          <w:u w:val="thick"/>
          <w:lang w:val="en-US"/>
        </w:rPr>
        <w:t>6</w:t>
      </w:r>
      <w:r w:rsidRPr="006220AF">
        <w:rPr>
          <w:lang w:val="en-US"/>
        </w:rPr>
        <w:t> : C. civ., art. 2297</w:t>
      </w:r>
    </w:p>
    <w:p w14:paraId="614C6068" w14:textId="77777777" w:rsidR="00C7630B" w:rsidRPr="00872EC3" w:rsidRDefault="00C7630B" w:rsidP="00C7630B">
      <w:pPr>
        <w:spacing w:line="276" w:lineRule="auto"/>
        <w:rPr>
          <w:b/>
          <w:bCs/>
          <w:lang w:val="en-US"/>
        </w:rPr>
      </w:pPr>
    </w:p>
    <w:p w14:paraId="4A1B5637" w14:textId="1F7F4FC9" w:rsidR="00C7630B" w:rsidRDefault="00C7630B" w:rsidP="00C7630B">
      <w:pPr>
        <w:spacing w:line="276" w:lineRule="auto"/>
        <w:rPr>
          <w:rFonts w:eastAsia="sourcesanspro"/>
          <w:color w:val="000000"/>
          <w:shd w:val="clear" w:color="auto" w:fill="FFFFFF"/>
        </w:rPr>
      </w:pPr>
      <w:r w:rsidRPr="00481F8E">
        <w:rPr>
          <w:b/>
          <w:bCs/>
          <w:u w:val="thick"/>
        </w:rPr>
        <w:t>IV.-</w:t>
      </w:r>
      <w:r w:rsidRPr="00C945B3">
        <w:rPr>
          <w:b/>
          <w:bCs/>
        </w:rPr>
        <w:t xml:space="preserve"> </w:t>
      </w:r>
      <w:r w:rsidRPr="00872EC3">
        <w:rPr>
          <w:b/>
          <w:bCs/>
          <w:u w:val="thick"/>
        </w:rPr>
        <w:t>Le cautionnement et les époux communs en biens</w:t>
      </w:r>
      <w:r w:rsidRPr="00C945B3">
        <w:rPr>
          <w:b/>
          <w:bCs/>
        </w:rPr>
        <w:t xml:space="preserve">. </w:t>
      </w:r>
      <w:r w:rsidRPr="00C945B3">
        <w:t>En présence d</w:t>
      </w:r>
      <w:r>
        <w:t>’</w:t>
      </w:r>
      <w:r w:rsidRPr="00C945B3">
        <w:t>époux communs en biens, un époux peut-il, seul, engager l</w:t>
      </w:r>
      <w:r>
        <w:t>’</w:t>
      </w:r>
      <w:r w:rsidRPr="00C945B3">
        <w:t>ensemble de ses biens propres et des biens communs, en s</w:t>
      </w:r>
      <w:r>
        <w:t>’</w:t>
      </w:r>
      <w:r w:rsidRPr="00C945B3">
        <w:t>engageant en qualité de caution ? L</w:t>
      </w:r>
      <w:r>
        <w:t>’</w:t>
      </w:r>
      <w:r w:rsidRPr="00C945B3">
        <w:t>on voit combien une réponse affirmative lèserait les droits du conjoint. Aussi bien l</w:t>
      </w:r>
      <w:r>
        <w:t>’</w:t>
      </w:r>
      <w:r w:rsidRPr="00C945B3">
        <w:t>article 1415 du Code civil prévoit-il que « </w:t>
      </w:r>
      <w:r w:rsidRPr="00C945B3">
        <w:rPr>
          <w:rFonts w:eastAsia="sourcesanspro"/>
          <w:i/>
          <w:iCs/>
          <w:color w:val="000000"/>
          <w:shd w:val="clear" w:color="auto" w:fill="FFFFFF"/>
        </w:rPr>
        <w:t>Chacun des époux ne peut engager que ses biens propres et ses revenus, par un cautionnement ou un emprunt, à moins que ceux-ci n</w:t>
      </w:r>
      <w:r>
        <w:rPr>
          <w:rFonts w:eastAsia="sourcesanspro"/>
          <w:i/>
          <w:iCs/>
          <w:color w:val="000000"/>
          <w:shd w:val="clear" w:color="auto" w:fill="FFFFFF"/>
        </w:rPr>
        <w:t>’</w:t>
      </w:r>
      <w:r w:rsidRPr="00C945B3">
        <w:rPr>
          <w:rFonts w:eastAsia="sourcesanspro"/>
          <w:i/>
          <w:iCs/>
          <w:color w:val="000000"/>
          <w:shd w:val="clear" w:color="auto" w:fill="FFFFFF"/>
        </w:rPr>
        <w:t>aient été contractés avec le consentement exprès de l</w:t>
      </w:r>
      <w:r>
        <w:rPr>
          <w:rFonts w:eastAsia="sourcesanspro"/>
          <w:i/>
          <w:iCs/>
          <w:color w:val="000000"/>
          <w:shd w:val="clear" w:color="auto" w:fill="FFFFFF"/>
        </w:rPr>
        <w:t>’</w:t>
      </w:r>
      <w:r w:rsidRPr="00C945B3">
        <w:rPr>
          <w:rFonts w:eastAsia="sourcesanspro"/>
          <w:i/>
          <w:iCs/>
          <w:color w:val="000000"/>
          <w:shd w:val="clear" w:color="auto" w:fill="FFFFFF"/>
        </w:rPr>
        <w:t xml:space="preserve">autre conjoint qui, </w:t>
      </w:r>
      <w:r w:rsidRPr="00C945B3">
        <w:rPr>
          <w:rFonts w:eastAsia="sourcesanspro"/>
          <w:i/>
          <w:iCs/>
          <w:color w:val="000000"/>
          <w:shd w:val="clear" w:color="auto" w:fill="FFFFFF"/>
        </w:rPr>
        <w:lastRenderedPageBreak/>
        <w:t>dans ce cas, n</w:t>
      </w:r>
      <w:r>
        <w:rPr>
          <w:rFonts w:eastAsia="sourcesanspro"/>
          <w:i/>
          <w:iCs/>
          <w:color w:val="000000"/>
          <w:shd w:val="clear" w:color="auto" w:fill="FFFFFF"/>
        </w:rPr>
        <w:t>’</w:t>
      </w:r>
      <w:r w:rsidRPr="00C945B3">
        <w:rPr>
          <w:rFonts w:eastAsia="sourcesanspro"/>
          <w:i/>
          <w:iCs/>
          <w:color w:val="000000"/>
          <w:shd w:val="clear" w:color="auto" w:fill="FFFFFF"/>
        </w:rPr>
        <w:t>engage pas ses biens propres</w:t>
      </w:r>
      <w:r w:rsidRPr="00C945B3">
        <w:rPr>
          <w:rFonts w:eastAsia="sourcesanspro"/>
          <w:color w:val="000000"/>
          <w:shd w:val="clear" w:color="auto" w:fill="FFFFFF"/>
        </w:rPr>
        <w:t> ». En d</w:t>
      </w:r>
      <w:r>
        <w:rPr>
          <w:rFonts w:eastAsia="sourcesanspro"/>
          <w:color w:val="000000"/>
          <w:shd w:val="clear" w:color="auto" w:fill="FFFFFF"/>
        </w:rPr>
        <w:t>’</w:t>
      </w:r>
      <w:r w:rsidRPr="00C945B3">
        <w:rPr>
          <w:rFonts w:eastAsia="sourcesanspro"/>
          <w:color w:val="000000"/>
          <w:shd w:val="clear" w:color="auto" w:fill="FFFFFF"/>
        </w:rPr>
        <w:t>autres termes, le cautionnement donné par un époux seul n</w:t>
      </w:r>
      <w:r>
        <w:rPr>
          <w:rFonts w:eastAsia="sourcesanspro"/>
          <w:color w:val="000000"/>
          <w:shd w:val="clear" w:color="auto" w:fill="FFFFFF"/>
        </w:rPr>
        <w:t>’</w:t>
      </w:r>
      <w:r w:rsidRPr="00C945B3">
        <w:rPr>
          <w:rFonts w:eastAsia="sourcesanspro"/>
          <w:color w:val="000000"/>
          <w:shd w:val="clear" w:color="auto" w:fill="FFFFFF"/>
        </w:rPr>
        <w:t xml:space="preserve">est pas nul, mais le droit de gage du créancier sera alors cantonné aux biens propres </w:t>
      </w:r>
      <w:r>
        <w:rPr>
          <w:rFonts w:eastAsia="sourcesanspro"/>
          <w:color w:val="000000"/>
          <w:shd w:val="clear" w:color="auto" w:fill="FFFFFF"/>
        </w:rPr>
        <w:t xml:space="preserve">et aux revenus </w:t>
      </w:r>
      <w:r w:rsidRPr="00C945B3">
        <w:rPr>
          <w:rFonts w:eastAsia="sourcesanspro"/>
          <w:color w:val="000000"/>
          <w:shd w:val="clear" w:color="auto" w:fill="FFFFFF"/>
        </w:rPr>
        <w:t>de l</w:t>
      </w:r>
      <w:r>
        <w:rPr>
          <w:rFonts w:eastAsia="sourcesanspro"/>
          <w:color w:val="000000"/>
          <w:shd w:val="clear" w:color="auto" w:fill="FFFFFF"/>
        </w:rPr>
        <w:t>’</w:t>
      </w:r>
      <w:r w:rsidRPr="00C945B3">
        <w:rPr>
          <w:rFonts w:eastAsia="sourcesanspro"/>
          <w:color w:val="000000"/>
          <w:shd w:val="clear" w:color="auto" w:fill="FFFFFF"/>
        </w:rPr>
        <w:t>époux engagé en qualité de caution, à l</w:t>
      </w:r>
      <w:r>
        <w:rPr>
          <w:rFonts w:eastAsia="sourcesanspro"/>
          <w:color w:val="000000"/>
          <w:shd w:val="clear" w:color="auto" w:fill="FFFFFF"/>
        </w:rPr>
        <w:t>’</w:t>
      </w:r>
      <w:r w:rsidRPr="00C945B3">
        <w:rPr>
          <w:rFonts w:eastAsia="sourcesanspro"/>
          <w:color w:val="000000"/>
          <w:shd w:val="clear" w:color="auto" w:fill="FFFFFF"/>
        </w:rPr>
        <w:t>exclusion des biens communs.</w:t>
      </w:r>
      <w:r>
        <w:rPr>
          <w:rFonts w:eastAsia="sourcesanspro"/>
          <w:color w:val="000000"/>
          <w:shd w:val="clear" w:color="auto" w:fill="FFFFFF"/>
        </w:rPr>
        <w:t xml:space="preserve"> </w:t>
      </w:r>
      <w:r w:rsidR="00D67B53">
        <w:rPr>
          <w:rFonts w:eastAsia="sourcesanspro"/>
          <w:color w:val="000000"/>
          <w:shd w:val="clear" w:color="auto" w:fill="FFFFFF"/>
        </w:rPr>
        <w:t>Pour que les biens communs soient engagés, e</w:t>
      </w:r>
      <w:r>
        <w:rPr>
          <w:rFonts w:eastAsia="sourcesanspro"/>
          <w:color w:val="000000"/>
          <w:shd w:val="clear" w:color="auto" w:fill="FFFFFF"/>
        </w:rPr>
        <w:t>ncore faut-il</w:t>
      </w:r>
      <w:r w:rsidR="00D67B53">
        <w:rPr>
          <w:rFonts w:eastAsia="sourcesanspro"/>
          <w:color w:val="000000"/>
          <w:shd w:val="clear" w:color="auto" w:fill="FFFFFF"/>
        </w:rPr>
        <w:t>, par conséquent,</w:t>
      </w:r>
      <w:r>
        <w:rPr>
          <w:rFonts w:eastAsia="sourcesanspro"/>
          <w:color w:val="000000"/>
          <w:shd w:val="clear" w:color="auto" w:fill="FFFFFF"/>
        </w:rPr>
        <w:t xml:space="preserve"> que soit établi le consentement exprès de l’époux à l’engagement souscrit par son conjoint. En effet, si les deux époux s’engagent séparément à garantir une même dette en qualité de caution, cela ne signifie pas qu’ils aient, pour autant, consenti à l’engagement de caution de l’autre.</w:t>
      </w:r>
    </w:p>
    <w:p w14:paraId="15C74D0E" w14:textId="77777777" w:rsidR="00C7630B" w:rsidRDefault="00C7630B" w:rsidP="00C7630B">
      <w:pPr>
        <w:spacing w:line="276" w:lineRule="auto"/>
        <w:rPr>
          <w:rFonts w:eastAsia="sourcesanspro"/>
          <w:color w:val="000000"/>
          <w:shd w:val="clear" w:color="auto" w:fill="FFFFFF"/>
        </w:rPr>
      </w:pPr>
    </w:p>
    <w:p w14:paraId="19E3DA18" w14:textId="77777777" w:rsidR="00C7630B" w:rsidRDefault="00C7630B" w:rsidP="00C7630B">
      <w:pPr>
        <w:spacing w:line="276" w:lineRule="auto"/>
      </w:pPr>
      <w:r w:rsidRPr="00872EC3">
        <w:rPr>
          <w:b/>
          <w:bCs/>
          <w:u w:val="thick"/>
        </w:rPr>
        <w:t xml:space="preserve">Doc. n° </w:t>
      </w:r>
      <w:r>
        <w:rPr>
          <w:b/>
          <w:bCs/>
          <w:u w:val="thick"/>
        </w:rPr>
        <w:t>7</w:t>
      </w:r>
      <w:r w:rsidRPr="00872EC3">
        <w:t xml:space="preserve"> : Cass. </w:t>
      </w:r>
      <w:r>
        <w:t>c</w:t>
      </w:r>
      <w:r w:rsidRPr="00872EC3">
        <w:t xml:space="preserve">iv. </w:t>
      </w:r>
      <w:r>
        <w:t>1</w:t>
      </w:r>
      <w:r w:rsidRPr="0071262C">
        <w:rPr>
          <w:vertAlign w:val="superscript"/>
        </w:rPr>
        <w:t>ère</w:t>
      </w:r>
      <w:r>
        <w:t xml:space="preserve">, </w:t>
      </w:r>
      <w:r w:rsidRPr="00872EC3">
        <w:t>13 juin 2019, n° 18-13.524</w:t>
      </w:r>
    </w:p>
    <w:p w14:paraId="5532938C" w14:textId="77777777" w:rsidR="00C7630B" w:rsidRDefault="00C7630B" w:rsidP="00C7630B">
      <w:pPr>
        <w:spacing w:line="276" w:lineRule="auto"/>
      </w:pPr>
    </w:p>
    <w:p w14:paraId="105350FB" w14:textId="77777777" w:rsidR="00C7630B" w:rsidRDefault="00C7630B" w:rsidP="00C7630B">
      <w:pPr>
        <w:spacing w:line="276" w:lineRule="auto"/>
      </w:pPr>
      <w:r w:rsidRPr="00481F8E">
        <w:rPr>
          <w:b/>
          <w:bCs/>
          <w:u w:val="thick"/>
        </w:rPr>
        <w:t>V.- Exercice.</w:t>
      </w:r>
      <w:r>
        <w:t> Après avoir lu l’ensemble des documents de la fiche, vous résoudrez le cas pratique suivant.</w:t>
      </w:r>
    </w:p>
    <w:p w14:paraId="67566EF8" w14:textId="77777777" w:rsidR="00C7630B" w:rsidRDefault="00C7630B" w:rsidP="00C7630B">
      <w:pPr>
        <w:spacing w:line="276" w:lineRule="auto"/>
      </w:pPr>
    </w:p>
    <w:p w14:paraId="79EC0C5D" w14:textId="77777777" w:rsidR="00C7630B" w:rsidRDefault="00C7630B" w:rsidP="00C7630B">
      <w:pPr>
        <w:spacing w:line="276" w:lineRule="auto"/>
      </w:pPr>
      <w:r w:rsidRPr="00584D74">
        <w:t xml:space="preserve">M. </w:t>
      </w:r>
      <w:r>
        <w:t>Bastien</w:t>
      </w:r>
      <w:r w:rsidRPr="00584D74">
        <w:t xml:space="preserve">, dirigeant averti </w:t>
      </w:r>
      <w:r>
        <w:t xml:space="preserve">d’une start-up </w:t>
      </w:r>
      <w:r w:rsidRPr="00584D74">
        <w:t xml:space="preserve">qu’il a récemment </w:t>
      </w:r>
      <w:r>
        <w:t>constituée</w:t>
      </w:r>
      <w:r w:rsidRPr="00584D74">
        <w:t xml:space="preserve"> avec son épouse, vient de solliciter auprès </w:t>
      </w:r>
      <w:r>
        <w:t>d’un créancier</w:t>
      </w:r>
      <w:r w:rsidRPr="00584D74">
        <w:t xml:space="preserve">, au nom de la société, un prêt destiné à faire face </w:t>
      </w:r>
      <w:r>
        <w:t>à des difficultés passagères</w:t>
      </w:r>
      <w:r w:rsidRPr="00584D74">
        <w:t>.</w:t>
      </w:r>
      <w:r>
        <w:t xml:space="preserve"> M. Bastien, ainsi que son épouse, mariés sous le régime de la communauté légale, se sont tous deux portés caution, au mois d’octobre de l’année 2021, de la dette née du contrat de prêt conclu par la société. Tandis que son épouse a préféré conclure le contrat par acte notarié, M. Bastien a quant à lui conclu le contrat par acte sous seing privé, avec la mention manuscrite suivante : « </w:t>
      </w:r>
      <w:r w:rsidRPr="00F96C2E">
        <w:rPr>
          <w:i/>
          <w:iCs/>
        </w:rPr>
        <w:t>En me portant caution de la société</w:t>
      </w:r>
      <w:r>
        <w:rPr>
          <w:i/>
          <w:iCs/>
        </w:rPr>
        <w:t xml:space="preserve"> Ho2</w:t>
      </w:r>
      <w:r w:rsidRPr="00F96C2E">
        <w:rPr>
          <w:i/>
          <w:iCs/>
        </w:rPr>
        <w:t xml:space="preserve">, </w:t>
      </w:r>
      <w:r>
        <w:rPr>
          <w:i/>
          <w:iCs/>
        </w:rPr>
        <w:t xml:space="preserve">pour la durée de cinq ans, </w:t>
      </w:r>
      <w:r w:rsidRPr="00F96C2E">
        <w:rPr>
          <w:i/>
          <w:iCs/>
        </w:rPr>
        <w:t xml:space="preserve">dans la limite de </w:t>
      </w:r>
      <w:r>
        <w:rPr>
          <w:i/>
          <w:iCs/>
        </w:rPr>
        <w:t xml:space="preserve">cinq cent mille </w:t>
      </w:r>
      <w:proofErr w:type="spellStart"/>
      <w:r>
        <w:rPr>
          <w:i/>
          <w:iCs/>
        </w:rPr>
        <w:t>mille</w:t>
      </w:r>
      <w:proofErr w:type="spellEnd"/>
      <w:r>
        <w:rPr>
          <w:i/>
          <w:iCs/>
        </w:rPr>
        <w:t xml:space="preserve"> euros (5</w:t>
      </w:r>
      <w:r w:rsidRPr="00F96C2E">
        <w:rPr>
          <w:i/>
          <w:iCs/>
        </w:rPr>
        <w:t>00 000</w:t>
      </w:r>
      <w:r>
        <w:rPr>
          <w:i/>
          <w:iCs/>
        </w:rPr>
        <w:t xml:space="preserve">) </w:t>
      </w:r>
      <w:r w:rsidRPr="00F96C2E">
        <w:rPr>
          <w:i/>
          <w:iCs/>
        </w:rPr>
        <w:t xml:space="preserve">couvrant le paiement du principal, </w:t>
      </w:r>
      <w:r>
        <w:rPr>
          <w:i/>
          <w:iCs/>
        </w:rPr>
        <w:t xml:space="preserve">je m’engage à rembourser à l’établissement de crédit les sommes dues </w:t>
      </w:r>
      <w:r w:rsidRPr="00F96C2E">
        <w:rPr>
          <w:i/>
          <w:iCs/>
        </w:rPr>
        <w:t xml:space="preserve">sur mes biens si la société n’y satisfait pas </w:t>
      </w:r>
      <w:r>
        <w:rPr>
          <w:i/>
          <w:iCs/>
        </w:rPr>
        <w:t>elle</w:t>
      </w:r>
      <w:r w:rsidRPr="00F96C2E">
        <w:rPr>
          <w:i/>
          <w:iCs/>
        </w:rPr>
        <w:t>-même</w:t>
      </w:r>
      <w:r>
        <w:t> ».</w:t>
      </w:r>
    </w:p>
    <w:p w14:paraId="6FA337AE" w14:textId="77777777" w:rsidR="00C7630B" w:rsidRDefault="00C7630B" w:rsidP="00C7630B">
      <w:pPr>
        <w:spacing w:line="276" w:lineRule="auto"/>
      </w:pPr>
      <w:r>
        <w:t>Quelques mois plus tard, la banque a assigné M. Bastien ainsi que son épouse. Voyez-vous quels moyens de défense ceux-ci pourraient-ils opposer à la banque ? Vos conclusions seraient-elles différentes si les contrats avaient été conclus au cours de l’année 2022 ?</w:t>
      </w:r>
    </w:p>
    <w:p w14:paraId="639BFDA1" w14:textId="08D20AFD" w:rsidR="00C7630B" w:rsidRPr="00872EC3" w:rsidRDefault="00952C24" w:rsidP="00C7630B">
      <w:pPr>
        <w:spacing w:line="276" w:lineRule="auto"/>
      </w:pPr>
      <w:r>
        <w:t>Par ailleurs, durant l’année 2021, la SCI gérée par Bastien s’était elle-même portée caution de l’ensemble des dettes que pourrait devoir la SCI TEZ envers sa banque. Bastien, inquiet de la portée de cet engagement, vous interroge sur les possibilités de remettre en cause ce cautionnement. Il vous précise que la SCI n’a jamais reçu l’information annuelle</w:t>
      </w:r>
      <w:r w:rsidR="004C015C">
        <w:t xml:space="preserve"> prétendument</w:t>
      </w:r>
      <w:r>
        <w:t xml:space="preserve"> due aux cautions.</w:t>
      </w:r>
    </w:p>
    <w:p w14:paraId="725DE739" w14:textId="77777777" w:rsidR="00C7630B" w:rsidRPr="006220AF" w:rsidRDefault="00C7630B" w:rsidP="00C7630B">
      <w:pPr>
        <w:spacing w:line="276" w:lineRule="auto"/>
        <w:rPr>
          <w:b/>
          <w:bCs/>
        </w:rPr>
      </w:pPr>
    </w:p>
    <w:p w14:paraId="177C5877" w14:textId="77777777" w:rsidR="00C7630B" w:rsidRDefault="00C7630B" w:rsidP="00C7630B">
      <w:pPr>
        <w:pStyle w:val="Textebrut"/>
        <w:spacing w:before="120" w:after="120" w:line="276" w:lineRule="auto"/>
        <w:rPr>
          <w:rFonts w:ascii="Times New Roman" w:hAnsi="Times New Roman"/>
          <w:b/>
          <w:smallCaps/>
          <w:sz w:val="22"/>
          <w:szCs w:val="22"/>
        </w:rPr>
      </w:pPr>
    </w:p>
    <w:p w14:paraId="185A904B" w14:textId="77777777" w:rsidR="00C7630B" w:rsidRDefault="00C7630B" w:rsidP="00C7630B">
      <w:pPr>
        <w:pStyle w:val="Textebrut"/>
        <w:spacing w:before="120" w:after="120" w:line="276" w:lineRule="auto"/>
        <w:rPr>
          <w:rFonts w:ascii="Times New Roman" w:hAnsi="Times New Roman"/>
          <w:b/>
          <w:smallCaps/>
          <w:sz w:val="22"/>
          <w:szCs w:val="22"/>
        </w:rPr>
      </w:pPr>
    </w:p>
    <w:p w14:paraId="655E5686" w14:textId="77777777" w:rsidR="00C7630B" w:rsidRPr="00C7630B" w:rsidRDefault="00C7630B" w:rsidP="00C7630B">
      <w:pPr>
        <w:pStyle w:val="Textebrut"/>
        <w:spacing w:before="120" w:after="120" w:line="276" w:lineRule="auto"/>
        <w:jc w:val="center"/>
        <w:rPr>
          <w:rFonts w:ascii="Times New Roman" w:hAnsi="Times New Roman"/>
          <w:b/>
          <w:smallCaps/>
          <w:sz w:val="22"/>
          <w:szCs w:val="22"/>
          <w:lang w:val="en-US"/>
        </w:rPr>
      </w:pPr>
      <w:r w:rsidRPr="00C7630B">
        <w:rPr>
          <w:rFonts w:ascii="Times New Roman" w:hAnsi="Times New Roman"/>
          <w:b/>
          <w:smallCaps/>
          <w:sz w:val="22"/>
          <w:szCs w:val="22"/>
          <w:lang w:val="en-US"/>
        </w:rPr>
        <w:t>*</w:t>
      </w:r>
    </w:p>
    <w:p w14:paraId="6F2A453E" w14:textId="77777777" w:rsidR="00C7630B" w:rsidRPr="00C7630B" w:rsidRDefault="00C7630B" w:rsidP="00C7630B">
      <w:pPr>
        <w:pStyle w:val="Textebrut"/>
        <w:spacing w:before="120" w:after="120" w:line="276" w:lineRule="auto"/>
        <w:jc w:val="center"/>
        <w:rPr>
          <w:rFonts w:ascii="Times New Roman" w:hAnsi="Times New Roman"/>
          <w:b/>
          <w:smallCaps/>
          <w:sz w:val="22"/>
          <w:szCs w:val="22"/>
          <w:lang w:val="en-US"/>
        </w:rPr>
      </w:pPr>
      <w:r w:rsidRPr="00C7630B">
        <w:rPr>
          <w:rFonts w:ascii="Times New Roman" w:hAnsi="Times New Roman"/>
          <w:b/>
          <w:smallCaps/>
          <w:sz w:val="22"/>
          <w:szCs w:val="22"/>
          <w:lang w:val="en-US"/>
        </w:rPr>
        <w:t>*</w:t>
      </w:r>
      <w:r w:rsidRPr="00C7630B">
        <w:rPr>
          <w:rFonts w:ascii="Times New Roman" w:hAnsi="Times New Roman"/>
          <w:b/>
          <w:smallCaps/>
          <w:sz w:val="22"/>
          <w:szCs w:val="22"/>
          <w:lang w:val="en-US"/>
        </w:rPr>
        <w:tab/>
        <w:t>*</w:t>
      </w:r>
    </w:p>
    <w:p w14:paraId="43AF5150" w14:textId="77777777" w:rsidR="00C7630B" w:rsidRPr="00C7630B" w:rsidRDefault="00C7630B" w:rsidP="00C7630B">
      <w:pPr>
        <w:pStyle w:val="Textebrut"/>
        <w:spacing w:before="120" w:after="120" w:line="276" w:lineRule="auto"/>
        <w:jc w:val="center"/>
        <w:rPr>
          <w:rFonts w:ascii="Times New Roman" w:hAnsi="Times New Roman"/>
          <w:b/>
          <w:smallCaps/>
          <w:sz w:val="22"/>
          <w:szCs w:val="22"/>
          <w:lang w:val="en-US"/>
        </w:rPr>
      </w:pPr>
    </w:p>
    <w:p w14:paraId="37CF3238" w14:textId="77777777" w:rsidR="00C7630B" w:rsidRPr="00481F8E" w:rsidRDefault="00C7630B" w:rsidP="00C7630B">
      <w:pPr>
        <w:spacing w:line="276" w:lineRule="auto"/>
        <w:rPr>
          <w:b/>
          <w:bCs/>
          <w:sz w:val="22"/>
          <w:szCs w:val="22"/>
          <w:lang w:val="en-US"/>
        </w:rPr>
      </w:pPr>
      <w:r w:rsidRPr="00481F8E">
        <w:rPr>
          <w:b/>
          <w:bCs/>
          <w:sz w:val="22"/>
          <w:szCs w:val="22"/>
          <w:u w:val="thick"/>
          <w:lang w:val="en-US"/>
        </w:rPr>
        <w:lastRenderedPageBreak/>
        <w:t>Doc. n° 1</w:t>
      </w:r>
      <w:r w:rsidRPr="00481F8E">
        <w:rPr>
          <w:b/>
          <w:bCs/>
          <w:sz w:val="22"/>
          <w:szCs w:val="22"/>
          <w:lang w:val="en-US"/>
        </w:rPr>
        <w:t xml:space="preserve"> : C. </w:t>
      </w:r>
      <w:proofErr w:type="spellStart"/>
      <w:r w:rsidRPr="00481F8E">
        <w:rPr>
          <w:b/>
          <w:bCs/>
          <w:sz w:val="22"/>
          <w:szCs w:val="22"/>
          <w:lang w:val="en-US"/>
        </w:rPr>
        <w:t>conso</w:t>
      </w:r>
      <w:proofErr w:type="spellEnd"/>
      <w:r w:rsidRPr="00481F8E">
        <w:rPr>
          <w:b/>
          <w:bCs/>
          <w:sz w:val="22"/>
          <w:szCs w:val="22"/>
          <w:lang w:val="en-US"/>
        </w:rPr>
        <w:t>., art. L. 331-1 et art. L. 331-2.</w:t>
      </w:r>
    </w:p>
    <w:p w14:paraId="22C6651D" w14:textId="77777777" w:rsidR="00C7630B" w:rsidRPr="00481F8E" w:rsidRDefault="00C7630B" w:rsidP="00C7630B">
      <w:pPr>
        <w:rPr>
          <w:rFonts w:ascii="sourcesanspro" w:eastAsia="sourcesanspro" w:hAnsi="sourcesanspro" w:cs="sourcesanspro"/>
          <w:color w:val="555555"/>
          <w:sz w:val="22"/>
          <w:szCs w:val="22"/>
          <w:shd w:val="clear" w:color="auto" w:fill="FFFFFF"/>
          <w:lang w:val="en-US"/>
        </w:rPr>
      </w:pPr>
    </w:p>
    <w:p w14:paraId="3021CA0D" w14:textId="77777777" w:rsidR="00C7630B" w:rsidRPr="007B28F3" w:rsidRDefault="00C7630B" w:rsidP="00C7630B">
      <w:pPr>
        <w:rPr>
          <w:rFonts w:eastAsia="sourcesanspro"/>
          <w:i/>
          <w:iCs/>
          <w:sz w:val="22"/>
          <w:szCs w:val="22"/>
          <w:shd w:val="clear" w:color="auto" w:fill="FFFFFF"/>
        </w:rPr>
      </w:pPr>
      <w:r w:rsidRPr="00481F8E">
        <w:rPr>
          <w:rFonts w:eastAsia="sourcesanspro"/>
          <w:b/>
          <w:bCs/>
          <w:sz w:val="22"/>
          <w:szCs w:val="22"/>
          <w:shd w:val="clear" w:color="auto" w:fill="FFFFFF"/>
          <w:lang w:val="en-US"/>
        </w:rPr>
        <w:t xml:space="preserve">C. </w:t>
      </w:r>
      <w:proofErr w:type="spellStart"/>
      <w:r w:rsidRPr="00481F8E">
        <w:rPr>
          <w:rFonts w:eastAsia="sourcesanspro"/>
          <w:b/>
          <w:bCs/>
          <w:sz w:val="22"/>
          <w:szCs w:val="22"/>
          <w:shd w:val="clear" w:color="auto" w:fill="FFFFFF"/>
          <w:lang w:val="en-US"/>
        </w:rPr>
        <w:t>conso</w:t>
      </w:r>
      <w:proofErr w:type="spellEnd"/>
      <w:r w:rsidRPr="00481F8E">
        <w:rPr>
          <w:rFonts w:eastAsia="sourcesanspro"/>
          <w:b/>
          <w:bCs/>
          <w:sz w:val="22"/>
          <w:szCs w:val="22"/>
          <w:shd w:val="clear" w:color="auto" w:fill="FFFFFF"/>
          <w:lang w:val="en-US"/>
        </w:rPr>
        <w:t xml:space="preserve">., art. </w:t>
      </w:r>
      <w:r w:rsidRPr="007B28F3">
        <w:rPr>
          <w:rFonts w:eastAsia="sourcesanspro"/>
          <w:b/>
          <w:bCs/>
          <w:sz w:val="22"/>
          <w:szCs w:val="22"/>
          <w:shd w:val="clear" w:color="auto" w:fill="FFFFFF"/>
        </w:rPr>
        <w:t>L. 331-1</w:t>
      </w:r>
      <w:r w:rsidRPr="007B28F3">
        <w:rPr>
          <w:rFonts w:eastAsia="sourcesanspro"/>
          <w:sz w:val="22"/>
          <w:szCs w:val="22"/>
          <w:shd w:val="clear" w:color="auto" w:fill="FFFFFF"/>
        </w:rPr>
        <w:t> : « </w:t>
      </w:r>
      <w:r w:rsidRPr="007B28F3">
        <w:rPr>
          <w:rFonts w:eastAsia="sourcesanspro"/>
          <w:i/>
          <w:iCs/>
          <w:sz w:val="22"/>
          <w:szCs w:val="22"/>
          <w:shd w:val="clear" w:color="auto" w:fill="FFFFFF"/>
        </w:rPr>
        <w:t>Toute personne physique qui s</w:t>
      </w:r>
      <w:r>
        <w:rPr>
          <w:rFonts w:eastAsia="sourcesanspro"/>
          <w:i/>
          <w:iCs/>
          <w:sz w:val="22"/>
          <w:szCs w:val="22"/>
          <w:shd w:val="clear" w:color="auto" w:fill="FFFFFF"/>
        </w:rPr>
        <w:t>’</w:t>
      </w:r>
      <w:r w:rsidRPr="007B28F3">
        <w:rPr>
          <w:rFonts w:eastAsia="sourcesanspro"/>
          <w:i/>
          <w:iCs/>
          <w:sz w:val="22"/>
          <w:szCs w:val="22"/>
          <w:shd w:val="clear" w:color="auto" w:fill="FFFFFF"/>
        </w:rPr>
        <w:t>engage par acte sous seing privé en qualité de caution envers un créancier professionnel fait précéder sa signature de la mention manuscrite suivante et uniquement de celle-ci :</w:t>
      </w:r>
    </w:p>
    <w:p w14:paraId="1B511743" w14:textId="77777777" w:rsidR="00C7630B" w:rsidRDefault="00C7630B" w:rsidP="00C7630B">
      <w:pPr>
        <w:rPr>
          <w:rFonts w:eastAsia="sourcesanspro"/>
          <w:sz w:val="22"/>
          <w:szCs w:val="22"/>
          <w:shd w:val="clear" w:color="auto" w:fill="FFFFFF"/>
        </w:rPr>
      </w:pPr>
      <w:r w:rsidRPr="007B28F3">
        <w:rPr>
          <w:rFonts w:eastAsia="sourcesanspro"/>
          <w:i/>
          <w:iCs/>
          <w:sz w:val="22"/>
          <w:szCs w:val="22"/>
          <w:shd w:val="clear" w:color="auto" w:fill="FFFFFF"/>
        </w:rPr>
        <w:t>" En me portant caution de X...................., dans la limite de la somme de.................... couvrant le paiement du principal, des intérêts et, le cas échéant, des pénalités ou intérêts de retard et pour la durée de...................., je m</w:t>
      </w:r>
      <w:r>
        <w:rPr>
          <w:rFonts w:eastAsia="sourcesanspro"/>
          <w:i/>
          <w:iCs/>
          <w:sz w:val="22"/>
          <w:szCs w:val="22"/>
          <w:shd w:val="clear" w:color="auto" w:fill="FFFFFF"/>
        </w:rPr>
        <w:t>’</w:t>
      </w:r>
      <w:r w:rsidRPr="007B28F3">
        <w:rPr>
          <w:rFonts w:eastAsia="sourcesanspro"/>
          <w:i/>
          <w:iCs/>
          <w:sz w:val="22"/>
          <w:szCs w:val="22"/>
          <w:shd w:val="clear" w:color="auto" w:fill="FFFFFF"/>
        </w:rPr>
        <w:t>engage à rembourser au prêteur les sommes dues sur mes revenus et mes biens si X.................... n</w:t>
      </w:r>
      <w:r>
        <w:rPr>
          <w:rFonts w:eastAsia="sourcesanspro"/>
          <w:i/>
          <w:iCs/>
          <w:sz w:val="22"/>
          <w:szCs w:val="22"/>
          <w:shd w:val="clear" w:color="auto" w:fill="FFFFFF"/>
        </w:rPr>
        <w:t>’</w:t>
      </w:r>
      <w:r w:rsidRPr="007B28F3">
        <w:rPr>
          <w:rFonts w:eastAsia="sourcesanspro"/>
          <w:i/>
          <w:iCs/>
          <w:sz w:val="22"/>
          <w:szCs w:val="22"/>
          <w:shd w:val="clear" w:color="auto" w:fill="FFFFFF"/>
        </w:rPr>
        <w:t>y satisfait pas lui-même"</w:t>
      </w:r>
      <w:r w:rsidRPr="007B28F3">
        <w:rPr>
          <w:rFonts w:eastAsia="sourcesanspro"/>
          <w:sz w:val="22"/>
          <w:szCs w:val="22"/>
          <w:shd w:val="clear" w:color="auto" w:fill="FFFFFF"/>
        </w:rPr>
        <w:t> ». </w:t>
      </w:r>
    </w:p>
    <w:p w14:paraId="10F62435" w14:textId="77777777" w:rsidR="00C7630B" w:rsidRPr="007B28F3" w:rsidRDefault="00C7630B" w:rsidP="00C7630B">
      <w:pPr>
        <w:rPr>
          <w:rFonts w:eastAsia="sourcesanspro"/>
          <w:sz w:val="22"/>
          <w:szCs w:val="22"/>
          <w:shd w:val="clear" w:color="auto" w:fill="FFFFFF"/>
        </w:rPr>
      </w:pPr>
    </w:p>
    <w:p w14:paraId="4DD7C7F1" w14:textId="77777777" w:rsidR="00C7630B" w:rsidRPr="007B28F3" w:rsidRDefault="00C7630B" w:rsidP="00C7630B">
      <w:pPr>
        <w:rPr>
          <w:rFonts w:eastAsia="sourcesanspro"/>
          <w:i/>
          <w:iCs/>
          <w:sz w:val="22"/>
          <w:szCs w:val="22"/>
          <w:shd w:val="clear" w:color="auto" w:fill="FFFFFF"/>
        </w:rPr>
      </w:pPr>
      <w:r w:rsidRPr="007B28F3">
        <w:rPr>
          <w:rFonts w:eastAsia="sourcesanspro"/>
          <w:b/>
          <w:bCs/>
          <w:sz w:val="22"/>
          <w:szCs w:val="22"/>
          <w:shd w:val="clear" w:color="auto" w:fill="FFFFFF"/>
        </w:rPr>
        <w:t>C. conso., art. L. 331-2</w:t>
      </w:r>
      <w:r w:rsidRPr="007B28F3">
        <w:rPr>
          <w:rFonts w:eastAsia="sourcesanspro"/>
          <w:sz w:val="22"/>
          <w:szCs w:val="22"/>
          <w:shd w:val="clear" w:color="auto" w:fill="FFFFFF"/>
        </w:rPr>
        <w:t> : « </w:t>
      </w:r>
      <w:r w:rsidRPr="007B28F3">
        <w:rPr>
          <w:rFonts w:eastAsia="sourcesanspro"/>
          <w:i/>
          <w:iCs/>
          <w:sz w:val="22"/>
          <w:szCs w:val="22"/>
          <w:shd w:val="clear" w:color="auto" w:fill="FFFFFF"/>
        </w:rPr>
        <w:t>Lorsque le créancier professionnel demande un cautionnement solidaire, la personne physique qui se porte caution fait précéder sa signature de la mention manuscrite suivante :</w:t>
      </w:r>
    </w:p>
    <w:p w14:paraId="6A1E355A" w14:textId="77777777" w:rsidR="00C7630B" w:rsidRDefault="00C7630B" w:rsidP="00C7630B">
      <w:pPr>
        <w:rPr>
          <w:rFonts w:eastAsia="sourcesanspro"/>
          <w:sz w:val="22"/>
          <w:szCs w:val="22"/>
          <w:shd w:val="clear" w:color="auto" w:fill="FFFFFF"/>
        </w:rPr>
      </w:pPr>
      <w:r w:rsidRPr="007B28F3">
        <w:rPr>
          <w:rFonts w:eastAsia="sourcesanspro"/>
          <w:i/>
          <w:iCs/>
          <w:sz w:val="22"/>
          <w:szCs w:val="22"/>
          <w:shd w:val="clear" w:color="auto" w:fill="FFFFFF"/>
        </w:rPr>
        <w:t>" En renonçant au bénéfice de discussion défini à l</w:t>
      </w:r>
      <w:r>
        <w:rPr>
          <w:rFonts w:eastAsia="sourcesanspro"/>
          <w:i/>
          <w:iCs/>
          <w:sz w:val="22"/>
          <w:szCs w:val="22"/>
          <w:shd w:val="clear" w:color="auto" w:fill="FFFFFF"/>
        </w:rPr>
        <w:t>’</w:t>
      </w:r>
      <w:hyperlink r:id="rId9" w:history="1">
        <w:r w:rsidRPr="007B28F3">
          <w:rPr>
            <w:rFonts w:eastAsia="sourcesanspro"/>
            <w:i/>
            <w:iCs/>
            <w:sz w:val="22"/>
            <w:szCs w:val="22"/>
            <w:shd w:val="clear" w:color="auto" w:fill="FFFFFF"/>
          </w:rPr>
          <w:t>article 2298 du code civil</w:t>
        </w:r>
      </w:hyperlink>
      <w:r w:rsidRPr="007B28F3">
        <w:rPr>
          <w:rFonts w:eastAsia="sourcesanspro"/>
          <w:i/>
          <w:iCs/>
          <w:sz w:val="22"/>
          <w:szCs w:val="22"/>
          <w:shd w:val="clear" w:color="auto" w:fill="FFFFFF"/>
        </w:rPr>
        <w:t> et en m</w:t>
      </w:r>
      <w:r>
        <w:rPr>
          <w:rFonts w:eastAsia="sourcesanspro"/>
          <w:i/>
          <w:iCs/>
          <w:sz w:val="22"/>
          <w:szCs w:val="22"/>
          <w:shd w:val="clear" w:color="auto" w:fill="FFFFFF"/>
        </w:rPr>
        <w:t>’</w:t>
      </w:r>
      <w:r w:rsidRPr="007B28F3">
        <w:rPr>
          <w:rFonts w:eastAsia="sourcesanspro"/>
          <w:i/>
          <w:iCs/>
          <w:sz w:val="22"/>
          <w:szCs w:val="22"/>
          <w:shd w:val="clear" w:color="auto" w:fill="FFFFFF"/>
        </w:rPr>
        <w:t>obligeant solidairement avec X je m</w:t>
      </w:r>
      <w:r>
        <w:rPr>
          <w:rFonts w:eastAsia="sourcesanspro"/>
          <w:i/>
          <w:iCs/>
          <w:sz w:val="22"/>
          <w:szCs w:val="22"/>
          <w:shd w:val="clear" w:color="auto" w:fill="FFFFFF"/>
        </w:rPr>
        <w:t>’</w:t>
      </w:r>
      <w:r w:rsidRPr="007B28F3">
        <w:rPr>
          <w:rFonts w:eastAsia="sourcesanspro"/>
          <w:i/>
          <w:iCs/>
          <w:sz w:val="22"/>
          <w:szCs w:val="22"/>
          <w:shd w:val="clear" w:color="auto" w:fill="FFFFFF"/>
        </w:rPr>
        <w:t>engage à rembourser le créancier sans pouvoir exiger qu</w:t>
      </w:r>
      <w:r>
        <w:rPr>
          <w:rFonts w:eastAsia="sourcesanspro"/>
          <w:i/>
          <w:iCs/>
          <w:sz w:val="22"/>
          <w:szCs w:val="22"/>
          <w:shd w:val="clear" w:color="auto" w:fill="FFFFFF"/>
        </w:rPr>
        <w:t>’</w:t>
      </w:r>
      <w:r w:rsidRPr="007B28F3">
        <w:rPr>
          <w:rFonts w:eastAsia="sourcesanspro"/>
          <w:i/>
          <w:iCs/>
          <w:sz w:val="22"/>
          <w:szCs w:val="22"/>
          <w:shd w:val="clear" w:color="auto" w:fill="FFFFFF"/>
        </w:rPr>
        <w:t>il poursuive préalablement X "</w:t>
      </w:r>
      <w:r w:rsidRPr="007B28F3">
        <w:rPr>
          <w:rFonts w:eastAsia="sourcesanspro"/>
          <w:sz w:val="22"/>
          <w:szCs w:val="22"/>
          <w:shd w:val="clear" w:color="auto" w:fill="FFFFFF"/>
        </w:rPr>
        <w:t> ».</w:t>
      </w:r>
    </w:p>
    <w:p w14:paraId="23F19E81" w14:textId="77777777" w:rsidR="00C7630B" w:rsidRDefault="00C7630B" w:rsidP="00C7630B">
      <w:pPr>
        <w:rPr>
          <w:rFonts w:eastAsia="sourcesanspro"/>
          <w:sz w:val="22"/>
          <w:szCs w:val="22"/>
          <w:shd w:val="clear" w:color="auto" w:fill="FFFFFF"/>
        </w:rPr>
      </w:pPr>
    </w:p>
    <w:p w14:paraId="075A886B" w14:textId="77777777" w:rsidR="00C7630B" w:rsidRPr="007B28F3" w:rsidRDefault="00C7630B" w:rsidP="00C7630B">
      <w:pPr>
        <w:spacing w:line="276" w:lineRule="auto"/>
        <w:rPr>
          <w:b/>
          <w:bCs/>
          <w:sz w:val="22"/>
          <w:szCs w:val="22"/>
        </w:rPr>
      </w:pPr>
      <w:r w:rsidRPr="007B28F3">
        <w:rPr>
          <w:b/>
          <w:bCs/>
          <w:sz w:val="22"/>
          <w:szCs w:val="22"/>
          <w:u w:val="thick"/>
        </w:rPr>
        <w:t xml:space="preserve">Doc. n° </w:t>
      </w:r>
      <w:r>
        <w:rPr>
          <w:b/>
          <w:bCs/>
          <w:sz w:val="22"/>
          <w:szCs w:val="22"/>
          <w:u w:val="thick"/>
        </w:rPr>
        <w:t>2</w:t>
      </w:r>
      <w:r w:rsidRPr="007B28F3">
        <w:rPr>
          <w:b/>
          <w:bCs/>
          <w:sz w:val="22"/>
          <w:szCs w:val="22"/>
        </w:rPr>
        <w:t> : Cass. civ. 1</w:t>
      </w:r>
      <w:r w:rsidRPr="007B28F3">
        <w:rPr>
          <w:b/>
          <w:bCs/>
          <w:sz w:val="22"/>
          <w:szCs w:val="22"/>
          <w:vertAlign w:val="superscript"/>
        </w:rPr>
        <w:t>ère</w:t>
      </w:r>
      <w:r w:rsidRPr="007B28F3">
        <w:rPr>
          <w:b/>
          <w:bCs/>
          <w:sz w:val="22"/>
          <w:szCs w:val="22"/>
        </w:rPr>
        <w:t>, 10 avr. 2013, n° 12-18.544</w:t>
      </w:r>
    </w:p>
    <w:p w14:paraId="37302446" w14:textId="77777777" w:rsidR="00C7630B" w:rsidRPr="007B28F3" w:rsidRDefault="00C7630B" w:rsidP="00C7630B">
      <w:pPr>
        <w:spacing w:line="276" w:lineRule="auto"/>
        <w:rPr>
          <w:b/>
          <w:bCs/>
          <w:sz w:val="22"/>
          <w:szCs w:val="22"/>
        </w:rPr>
      </w:pPr>
    </w:p>
    <w:p w14:paraId="4CEC5C22" w14:textId="77777777" w:rsidR="00C7630B" w:rsidRPr="007B28F3" w:rsidRDefault="00C7630B" w:rsidP="00C7630B">
      <w:pPr>
        <w:rPr>
          <w:rFonts w:eastAsia="sourcesanspro"/>
          <w:color w:val="000000"/>
          <w:sz w:val="22"/>
          <w:szCs w:val="22"/>
          <w:shd w:val="clear" w:color="auto" w:fill="FFFFFF"/>
        </w:rPr>
        <w:sectPr w:rsidR="00C7630B" w:rsidRPr="007B28F3" w:rsidSect="00C7630B">
          <w:footerReference w:type="even" r:id="rId10"/>
          <w:footerReference w:type="default" r:id="rId11"/>
          <w:pgSz w:w="11906" w:h="16838"/>
          <w:pgMar w:top="1417" w:right="1417" w:bottom="1417" w:left="1417" w:header="708" w:footer="708" w:gutter="0"/>
          <w:cols w:space="708"/>
          <w:docGrid w:linePitch="360"/>
        </w:sectPr>
      </w:pPr>
    </w:p>
    <w:p w14:paraId="229761DD" w14:textId="77777777" w:rsidR="00C7630B" w:rsidRPr="007B28F3" w:rsidRDefault="00C7630B" w:rsidP="00C7630B">
      <w:pPr>
        <w:rPr>
          <w:rFonts w:eastAsia="sourcesanspro"/>
          <w:color w:val="000000"/>
          <w:sz w:val="22"/>
          <w:szCs w:val="22"/>
          <w:shd w:val="clear" w:color="auto" w:fill="FFFFFF"/>
        </w:rPr>
      </w:pPr>
      <w:r w:rsidRPr="007B28F3">
        <w:rPr>
          <w:rFonts w:eastAsia="sourcesanspro"/>
          <w:color w:val="000000"/>
          <w:sz w:val="22"/>
          <w:szCs w:val="22"/>
          <w:shd w:val="clear" w:color="auto" w:fill="FFFFFF"/>
        </w:rPr>
        <w:t>Sur le moyen unique, pris en sa première branche :</w:t>
      </w:r>
    </w:p>
    <w:p w14:paraId="24922923" w14:textId="77777777" w:rsidR="00C7630B" w:rsidRPr="007B28F3" w:rsidRDefault="00C7630B" w:rsidP="00C7630B">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Vu les articles L. 341-2 et L. 341-3 du code de la consommation ;</w:t>
      </w:r>
    </w:p>
    <w:p w14:paraId="1640F2FE" w14:textId="77777777" w:rsidR="00C7630B" w:rsidRPr="007B28F3" w:rsidRDefault="00C7630B" w:rsidP="00C7630B">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Attendu, selon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arrêt attaqué, que par acte sous seing privé du 16 décembre 2005, M. X... a consenti un cautionnement solidaire au profit de la société Banque populaire Lorraine Champagne, laquelle a fait assigner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intéressé en paiement au titre de la garantie souscrite ;</w:t>
      </w:r>
    </w:p>
    <w:p w14:paraId="54B6B47E" w14:textId="77777777" w:rsidR="00C7630B" w:rsidRPr="007B28F3" w:rsidRDefault="00C7630B" w:rsidP="00C7630B">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Attendu que pour prononcer la nullité du cautionnement et ainsi débouter la banque de sa demande,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arrêt retient que la mention manuscrite rédigée par M. X... n</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est pas totalement conforme aux exigences des articles L. 341-2 et L. 341-3 du code de la consommation, puisqu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 xml:space="preserve">elle énonce : « en me portant caution personnelle et solidaire de </w:t>
      </w:r>
      <w:proofErr w:type="spellStart"/>
      <w:r w:rsidRPr="007B28F3">
        <w:rPr>
          <w:rFonts w:eastAsia="sourcesanspro"/>
          <w:color w:val="000000"/>
          <w:sz w:val="22"/>
          <w:szCs w:val="22"/>
          <w:shd w:val="clear" w:color="auto" w:fill="FFFFFF"/>
        </w:rPr>
        <w:t>Orditec</w:t>
      </w:r>
      <w:proofErr w:type="spellEnd"/>
      <w:r w:rsidRPr="007B28F3">
        <w:rPr>
          <w:rFonts w:eastAsia="sourcesanspro"/>
          <w:color w:val="000000"/>
          <w:sz w:val="22"/>
          <w:szCs w:val="22"/>
          <w:shd w:val="clear" w:color="auto" w:fill="FFFFFF"/>
        </w:rPr>
        <w:t xml:space="preserve"> SA dans la limite de la somme de 35 000 euros-</w:t>
      </w:r>
      <w:proofErr w:type="spellStart"/>
      <w:r w:rsidRPr="007B28F3">
        <w:rPr>
          <w:rFonts w:eastAsia="sourcesanspro"/>
          <w:color w:val="000000"/>
          <w:sz w:val="22"/>
          <w:szCs w:val="22"/>
          <w:shd w:val="clear" w:color="auto" w:fill="FFFFFF"/>
        </w:rPr>
        <w:t>trente cinq</w:t>
      </w:r>
      <w:proofErr w:type="spellEnd"/>
      <w:r w:rsidRPr="007B28F3">
        <w:rPr>
          <w:rFonts w:eastAsia="sourcesanspro"/>
          <w:color w:val="000000"/>
          <w:sz w:val="22"/>
          <w:szCs w:val="22"/>
          <w:shd w:val="clear" w:color="auto" w:fill="FFFFFF"/>
        </w:rPr>
        <w:t xml:space="preserve"> Mille euros-couvrant le paiement du principal, des intérêts et le cas </w:t>
      </w:r>
      <w:r w:rsidRPr="007B28F3">
        <w:rPr>
          <w:rFonts w:eastAsia="sourcesanspro"/>
          <w:color w:val="000000"/>
          <w:sz w:val="22"/>
          <w:szCs w:val="22"/>
          <w:shd w:val="clear" w:color="auto" w:fill="FFFFFF"/>
        </w:rPr>
        <w:t>échéant des pénalités ou intérêts de retard et pour la durée de 13, 5 mois-treize mois et demi, je m</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 xml:space="preserve">engage à rembourser à la banque les sommes dues sur mes revenus et mes biens si </w:t>
      </w:r>
      <w:proofErr w:type="spellStart"/>
      <w:r w:rsidRPr="007B28F3">
        <w:rPr>
          <w:rFonts w:eastAsia="sourcesanspro"/>
          <w:color w:val="000000"/>
          <w:sz w:val="22"/>
          <w:szCs w:val="22"/>
          <w:shd w:val="clear" w:color="auto" w:fill="FFFFFF"/>
        </w:rPr>
        <w:t>Orditec</w:t>
      </w:r>
      <w:proofErr w:type="spellEnd"/>
      <w:r w:rsidRPr="007B28F3">
        <w:rPr>
          <w:rFonts w:eastAsia="sourcesanspro"/>
          <w:color w:val="000000"/>
          <w:sz w:val="22"/>
          <w:szCs w:val="22"/>
          <w:shd w:val="clear" w:color="auto" w:fill="FFFFFF"/>
        </w:rPr>
        <w:t xml:space="preserve"> SA n</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y satisfait pas lui-même en renonçant au bénéfice de discussion défini à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article 2021 du code civil et en m</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 xml:space="preserve">obligeant solidairement avec </w:t>
      </w:r>
      <w:proofErr w:type="spellStart"/>
      <w:r w:rsidRPr="007B28F3">
        <w:rPr>
          <w:rFonts w:eastAsia="sourcesanspro"/>
          <w:color w:val="000000"/>
          <w:sz w:val="22"/>
          <w:szCs w:val="22"/>
          <w:shd w:val="clear" w:color="auto" w:fill="FFFFFF"/>
        </w:rPr>
        <w:t>Orditec</w:t>
      </w:r>
      <w:proofErr w:type="spellEnd"/>
      <w:r w:rsidRPr="007B28F3">
        <w:rPr>
          <w:rFonts w:eastAsia="sourcesanspro"/>
          <w:color w:val="000000"/>
          <w:sz w:val="22"/>
          <w:szCs w:val="22"/>
          <w:shd w:val="clear" w:color="auto" w:fill="FFFFFF"/>
        </w:rPr>
        <w:t xml:space="preserve"> SA, je m</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engage à rembourser à la banque sans pouvoir exiger 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 xml:space="preserve">elle poursuive préalablement </w:t>
      </w:r>
      <w:proofErr w:type="spellStart"/>
      <w:r w:rsidRPr="007B28F3">
        <w:rPr>
          <w:rFonts w:eastAsia="sourcesanspro"/>
          <w:color w:val="000000"/>
          <w:sz w:val="22"/>
          <w:szCs w:val="22"/>
          <w:shd w:val="clear" w:color="auto" w:fill="FFFFFF"/>
        </w:rPr>
        <w:t>Orditec</w:t>
      </w:r>
      <w:proofErr w:type="spellEnd"/>
      <w:r w:rsidRPr="007B28F3">
        <w:rPr>
          <w:rFonts w:eastAsia="sourcesanspro"/>
          <w:color w:val="000000"/>
          <w:sz w:val="22"/>
          <w:szCs w:val="22"/>
          <w:shd w:val="clear" w:color="auto" w:fill="FFFFFF"/>
        </w:rPr>
        <w:t xml:space="preserve"> SA » ;</w:t>
      </w:r>
    </w:p>
    <w:p w14:paraId="003724C9" w14:textId="77777777" w:rsidR="00C7630B" w:rsidRPr="007B28F3" w:rsidRDefault="00C7630B" w:rsidP="00C7630B">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en statuant ainsi, alors que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évocation du caractère « personnel et solidaire » du cautionnement,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une part, la substitution du terme « banque » à ceux de « prêteur » et de « créancier »,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autre part, n</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affectaient ni le sens ni la portée des mentions manuscrites prescrites par les articles L. 341-2 et suivant du code de la consommation, la cour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appel a violé les textes susvisés ;</w:t>
      </w:r>
    </w:p>
    <w:p w14:paraId="5E8AF2C8" w14:textId="77777777" w:rsidR="00C7630B" w:rsidRPr="007B28F3" w:rsidRDefault="00C7630B" w:rsidP="00C7630B">
      <w:pPr>
        <w:rPr>
          <w:sz w:val="22"/>
          <w:szCs w:val="22"/>
        </w:rPr>
        <w:sectPr w:rsidR="00C7630B" w:rsidRPr="007B28F3" w:rsidSect="00C7630B">
          <w:type w:val="continuous"/>
          <w:pgSz w:w="11906" w:h="16838"/>
          <w:pgMar w:top="1417" w:right="1417" w:bottom="1417" w:left="1417" w:header="708" w:footer="708" w:gutter="0"/>
          <w:cols w:num="2" w:space="708"/>
          <w:docGrid w:linePitch="360"/>
        </w:sectPr>
      </w:pPr>
      <w:r w:rsidRPr="007B28F3">
        <w:rPr>
          <w:rFonts w:eastAsia="sourcesanspro"/>
          <w:color w:val="000000"/>
          <w:sz w:val="22"/>
          <w:szCs w:val="22"/>
        </w:rPr>
        <w:br/>
      </w:r>
      <w:r w:rsidRPr="007B28F3">
        <w:rPr>
          <w:rFonts w:eastAsia="sourcesanspro"/>
          <w:color w:val="000000"/>
          <w:sz w:val="22"/>
          <w:szCs w:val="22"/>
          <w:shd w:val="clear" w:color="auto" w:fill="FFFFFF"/>
        </w:rPr>
        <w:t>PAR CES MOTIFS, et sans 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il y ait lieu de statuer sur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autre branche du moyen :</w:t>
      </w:r>
      <w:r w:rsidRPr="007B28F3">
        <w:rPr>
          <w:rFonts w:eastAsia="sourcesanspro"/>
          <w:color w:val="000000"/>
          <w:sz w:val="22"/>
          <w:szCs w:val="22"/>
        </w:rPr>
        <w:t xml:space="preserve"> </w:t>
      </w:r>
      <w:r w:rsidRPr="007B28F3">
        <w:rPr>
          <w:rFonts w:eastAsia="sourcesanspro"/>
          <w:color w:val="000000"/>
          <w:sz w:val="22"/>
          <w:szCs w:val="22"/>
          <w:shd w:val="clear" w:color="auto" w:fill="FFFFFF"/>
        </w:rPr>
        <w:t>CASSE ET ANNULE</w:t>
      </w:r>
      <w:r w:rsidRPr="007B28F3">
        <w:rPr>
          <w:sz w:val="22"/>
          <w:szCs w:val="22"/>
        </w:rPr>
        <w:t>.</w:t>
      </w:r>
    </w:p>
    <w:p w14:paraId="2949A02B" w14:textId="77777777" w:rsidR="00C7630B" w:rsidRDefault="00C7630B" w:rsidP="00C7630B">
      <w:pPr>
        <w:spacing w:line="276" w:lineRule="auto"/>
        <w:rPr>
          <w:b/>
          <w:bCs/>
          <w:sz w:val="22"/>
          <w:szCs w:val="22"/>
          <w:u w:val="thick"/>
        </w:rPr>
      </w:pPr>
    </w:p>
    <w:p w14:paraId="08925AD4" w14:textId="77777777" w:rsidR="00C7630B" w:rsidRPr="007B28F3" w:rsidRDefault="00C7630B" w:rsidP="00C7630B">
      <w:pPr>
        <w:spacing w:line="276" w:lineRule="auto"/>
        <w:rPr>
          <w:b/>
          <w:bCs/>
          <w:sz w:val="22"/>
          <w:szCs w:val="22"/>
          <w:lang w:val="en-US"/>
        </w:rPr>
      </w:pPr>
      <w:r w:rsidRPr="007B28F3">
        <w:rPr>
          <w:b/>
          <w:bCs/>
          <w:sz w:val="22"/>
          <w:szCs w:val="22"/>
          <w:u w:val="thick"/>
          <w:lang w:val="en-US"/>
        </w:rPr>
        <w:lastRenderedPageBreak/>
        <w:t xml:space="preserve">Doc. n° </w:t>
      </w:r>
      <w:r>
        <w:rPr>
          <w:b/>
          <w:bCs/>
          <w:sz w:val="22"/>
          <w:szCs w:val="22"/>
          <w:u w:val="thick"/>
          <w:lang w:val="en-US"/>
        </w:rPr>
        <w:t>3</w:t>
      </w:r>
      <w:r w:rsidRPr="007B28F3">
        <w:rPr>
          <w:b/>
          <w:bCs/>
          <w:sz w:val="22"/>
          <w:szCs w:val="22"/>
          <w:lang w:val="en-US"/>
        </w:rPr>
        <w:t xml:space="preserve"> : Cass. com., 12 </w:t>
      </w:r>
      <w:proofErr w:type="spellStart"/>
      <w:r w:rsidRPr="007B28F3">
        <w:rPr>
          <w:b/>
          <w:bCs/>
          <w:sz w:val="22"/>
          <w:szCs w:val="22"/>
          <w:lang w:val="en-US"/>
        </w:rPr>
        <w:t>nov.</w:t>
      </w:r>
      <w:proofErr w:type="spellEnd"/>
      <w:r w:rsidRPr="007B28F3">
        <w:rPr>
          <w:b/>
          <w:bCs/>
          <w:sz w:val="22"/>
          <w:szCs w:val="22"/>
          <w:lang w:val="en-US"/>
        </w:rPr>
        <w:t xml:space="preserve"> 2020, n° 19-15.893 </w:t>
      </w:r>
    </w:p>
    <w:p w14:paraId="71B33C3F" w14:textId="77777777" w:rsidR="00C7630B" w:rsidRPr="007B28F3" w:rsidRDefault="00C7630B" w:rsidP="00C7630B">
      <w:pPr>
        <w:spacing w:line="276" w:lineRule="auto"/>
        <w:rPr>
          <w:b/>
          <w:bCs/>
          <w:sz w:val="22"/>
          <w:szCs w:val="22"/>
          <w:lang w:val="en-US"/>
        </w:rPr>
      </w:pPr>
    </w:p>
    <w:p w14:paraId="041B36CD" w14:textId="77777777" w:rsidR="00C7630B" w:rsidRPr="007B28F3" w:rsidRDefault="00C7630B" w:rsidP="00C7630B">
      <w:pPr>
        <w:rPr>
          <w:rFonts w:eastAsia="sourcesanspro"/>
          <w:color w:val="000000"/>
          <w:sz w:val="22"/>
          <w:szCs w:val="22"/>
          <w:shd w:val="clear" w:color="auto" w:fill="FFFFFF"/>
          <w:lang w:val="en-US"/>
        </w:rPr>
        <w:sectPr w:rsidR="00C7630B" w:rsidRPr="007B28F3" w:rsidSect="00C7630B">
          <w:type w:val="continuous"/>
          <w:pgSz w:w="11906" w:h="16838"/>
          <w:pgMar w:top="1417" w:right="1417" w:bottom="1417" w:left="1417" w:header="708" w:footer="708" w:gutter="0"/>
          <w:cols w:space="708"/>
          <w:docGrid w:linePitch="360"/>
        </w:sectPr>
      </w:pPr>
    </w:p>
    <w:p w14:paraId="2311F7F8" w14:textId="77777777" w:rsidR="00C7630B" w:rsidRPr="007B28F3" w:rsidRDefault="00C7630B" w:rsidP="00C7630B">
      <w:pPr>
        <w:rPr>
          <w:rFonts w:eastAsia="sourcesanspro"/>
          <w:color w:val="000000"/>
          <w:sz w:val="22"/>
          <w:szCs w:val="22"/>
          <w:shd w:val="clear" w:color="auto" w:fill="FFFFFF"/>
        </w:rPr>
      </w:pPr>
      <w:r w:rsidRPr="007B28F3">
        <w:rPr>
          <w:rFonts w:eastAsia="sourcesanspro"/>
          <w:color w:val="000000"/>
          <w:sz w:val="22"/>
          <w:szCs w:val="22"/>
          <w:shd w:val="clear" w:color="auto" w:fill="FFFFFF"/>
        </w:rPr>
        <w:t>Faits et procédure</w:t>
      </w:r>
    </w:p>
    <w:p w14:paraId="03629FFE" w14:textId="77777777" w:rsidR="00C7630B" w:rsidRPr="007B28F3" w:rsidRDefault="00C7630B" w:rsidP="00C7630B">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1. Selon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 xml:space="preserve">arrêt attaqué (Bordeaux, 28 février 2019) et les productions, par un acte du 15 décembre 2009, la société Banque Pelletier a consenti un prêt à la société Évolution automobile de </w:t>
      </w:r>
      <w:proofErr w:type="spellStart"/>
      <w:r w:rsidRPr="007B28F3">
        <w:rPr>
          <w:rFonts w:eastAsia="sourcesanspro"/>
          <w:color w:val="000000"/>
          <w:sz w:val="22"/>
          <w:szCs w:val="22"/>
          <w:shd w:val="clear" w:color="auto" w:fill="FFFFFF"/>
        </w:rPr>
        <w:t>Lastresne</w:t>
      </w:r>
      <w:proofErr w:type="spellEnd"/>
      <w:r w:rsidRPr="007B28F3">
        <w:rPr>
          <w:rFonts w:eastAsia="sourcesanspro"/>
          <w:color w:val="000000"/>
          <w:sz w:val="22"/>
          <w:szCs w:val="22"/>
          <w:shd w:val="clear" w:color="auto" w:fill="FFFFFF"/>
        </w:rPr>
        <w:t xml:space="preserve"> (la société), en garantie duquel M. U... O... et Mme Q... O... se sont rendus cautions solidaires.</w:t>
      </w:r>
    </w:p>
    <w:p w14:paraId="79A07DE8" w14:textId="77777777" w:rsidR="00C7630B" w:rsidRPr="007B28F3" w:rsidRDefault="00C7630B" w:rsidP="00C7630B">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2. Par un acte du 5 avril 2013, la société Crédit commercial du sud-ouest, venant aux droits de la société Banque Pelletier, a assigné en paiement les cautions, puis par un acte des 14 et 15 octobre 2015, la société Banque populaire Aquitaine Centre Atlantique, venant aux droits de la société Crédit commercial du Sud-Ouest, a assigné en paiement M. M... et Mme J... O..., ayants droit de Q... O..., décédée en cours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instance.</w:t>
      </w:r>
    </w:p>
    <w:p w14:paraId="1D0B14AF" w14:textId="77777777" w:rsidR="00C7630B" w:rsidRPr="007B28F3" w:rsidRDefault="00C7630B" w:rsidP="00C7630B">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 xml:space="preserve">3. La société Banque populaire Aquitaine Centre Atlantique a cédé sa créance sur la société Évolution automobile de </w:t>
      </w:r>
      <w:proofErr w:type="spellStart"/>
      <w:r w:rsidRPr="007B28F3">
        <w:rPr>
          <w:rFonts w:eastAsia="sourcesanspro"/>
          <w:color w:val="000000"/>
          <w:sz w:val="22"/>
          <w:szCs w:val="22"/>
          <w:shd w:val="clear" w:color="auto" w:fill="FFFFFF"/>
        </w:rPr>
        <w:t>Lastresne</w:t>
      </w:r>
      <w:proofErr w:type="spellEnd"/>
      <w:r w:rsidRPr="007B28F3">
        <w:rPr>
          <w:rFonts w:eastAsia="sourcesanspro"/>
          <w:color w:val="000000"/>
          <w:sz w:val="22"/>
          <w:szCs w:val="22"/>
          <w:shd w:val="clear" w:color="auto" w:fill="FFFFFF"/>
        </w:rPr>
        <w:t xml:space="preserve"> à la société NACC qui a repris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instance contre les consorts O.... Ceux-ci lui ont opposé la nullité de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engagement de caution litigieux, faute de satisfaire aux dispositions de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article L. 341-2 du code de la consommation, dans sa rédaction alors applicable.</w:t>
      </w:r>
    </w:p>
    <w:p w14:paraId="4D254A86" w14:textId="77777777" w:rsidR="00C7630B" w:rsidRPr="007B28F3" w:rsidRDefault="00C7630B" w:rsidP="00C7630B">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Énoncé du moyen</w:t>
      </w:r>
    </w:p>
    <w:p w14:paraId="2AA8E56D" w14:textId="77777777" w:rsidR="00C7630B" w:rsidRPr="007B28F3" w:rsidRDefault="00C7630B" w:rsidP="00C7630B">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4. La société NACC fait grief à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arrêt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annuler le cautionnement solidaire conclu le 5 novembre 2009 par M. M... O... et Mme Q... O... et de rejeter ses demandes, alors :</w:t>
      </w:r>
    </w:p>
    <w:p w14:paraId="2C764BE8" w14:textId="77777777" w:rsidR="00C7630B" w:rsidRPr="007B28F3" w:rsidRDefault="00C7630B" w:rsidP="00C7630B">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 1°/ 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est valable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engagement de caution, souscrit par une personne physique envers un créancier professionnel, dès lors que la mention manuscrite prévue par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article L. 341-2 du code de la consommation, dans sa version antérieure à celle issue de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 xml:space="preserve">ordonnance du 14 mars 2016, </w:t>
      </w:r>
      <w:r w:rsidRPr="007B28F3">
        <w:rPr>
          <w:rFonts w:eastAsia="sourcesanspro"/>
          <w:color w:val="000000"/>
          <w:sz w:val="22"/>
          <w:szCs w:val="22"/>
          <w:shd w:val="clear" w:color="auto" w:fill="FFFFFF"/>
        </w:rPr>
        <w:t>permet de déterminer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identité du débiteur garanti, fût-ce par renvoi à une autre clause du même acte ; 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en déboutant la société NACC de sa demande en paiement cependant 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il résultait de ses propres constatations que,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une part, les cautions étaient les parents du gérant de la société débitrice, lequel s</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était également porté caution du remboursement du même prêt et,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autre part, que le nom de la société débitrice figurait sur la première page de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acte de cautionnement, ce dont il résultait que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identité du débiteur garanti était nécessairement connue des cautions, la cour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appel a violé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article L. 341-2 du code de la consommation, dans sa version antérieure à celle issue de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ordonnance du 14 mars 2016 ;</w:t>
      </w:r>
    </w:p>
    <w:p w14:paraId="514ADDCB" w14:textId="77777777" w:rsidR="00C7630B" w:rsidRPr="007B28F3" w:rsidRDefault="00C7630B" w:rsidP="00C7630B">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2°/ que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engagement de caution, souscrit par une personne physique envers un créancier professionnel, n</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 pas à comporter le nom du débiteur principal dans la mention manuscrite prévue par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article L. 341-2 du code de la consommation, dans sa version antérieure à celle issue de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ordonnance du 14 mars 2016, dès lors que la caution a elle-même signé le contrat de prêt ; 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en déboutant la société NACC de sa demande en paiement, cependant que celle-ci faisait valoir que les cautions avaient elles-mêmes contresigné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acte de prêt en qualité de « constituants » de sorte 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elles ne pouvaient invoquer le fait que la mention manuscrite visant le « bénéficiaire du crédit » ne permettait pas de déterminer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identité du débiteur garanti, la cour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appel a violé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article L. 341-2 du code de la consommation, dans sa version antérieure à celle issue de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ordonnance du 14 mars 2016. »</w:t>
      </w:r>
    </w:p>
    <w:p w14:paraId="402B9EC5" w14:textId="77777777" w:rsidR="00C7630B" w:rsidRPr="007B28F3" w:rsidRDefault="00C7630B" w:rsidP="00C7630B">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Réponse de la Cour</w:t>
      </w:r>
    </w:p>
    <w:p w14:paraId="6476C63A" w14:textId="77777777" w:rsidR="00C7630B" w:rsidRPr="007B28F3" w:rsidRDefault="00C7630B" w:rsidP="00C7630B">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5. Ayant constaté, par motifs adoptés, que le bénéficiaire du cautionnement n</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est désigné par chacune des cautions, en page 3 de leur engagement, que par la seule mention manuscrite « bénéficiaire du crédit », la cour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 xml:space="preserve">appel en a exactement déduit que, faute de </w:t>
      </w:r>
      <w:r w:rsidRPr="007B28F3">
        <w:rPr>
          <w:rFonts w:eastAsia="sourcesanspro"/>
          <w:color w:val="000000"/>
          <w:sz w:val="22"/>
          <w:szCs w:val="22"/>
          <w:shd w:val="clear" w:color="auto" w:fill="FFFFFF"/>
        </w:rPr>
        <w:lastRenderedPageBreak/>
        <w:t>désignation du débiteur garanti par son nom ou sa dénomination sociale, à la place de la lettre « X » de la formule légale, dans la mention manuscrite par chaque caution, le cautionnement du 15 décembre 2009, était nul, peu important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existence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une mention pré-imprimée figurant dans le corps du contrat de cautionnement indiquant la dénomination sociale du débiteur garanti, ou que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 xml:space="preserve">une des </w:t>
      </w:r>
      <w:r w:rsidRPr="007B28F3">
        <w:rPr>
          <w:rFonts w:eastAsia="sourcesanspro"/>
          <w:color w:val="000000"/>
          <w:sz w:val="22"/>
          <w:szCs w:val="22"/>
          <w:shd w:val="clear" w:color="auto" w:fill="FFFFFF"/>
        </w:rPr>
        <w:t>cautions fût, par ailleurs gérant, de la société cautionnée.</w:t>
      </w:r>
      <w:r w:rsidRPr="007B28F3">
        <w:rPr>
          <w:rFonts w:eastAsia="sourcesanspro"/>
          <w:color w:val="000000"/>
          <w:sz w:val="22"/>
          <w:szCs w:val="22"/>
        </w:rPr>
        <w:br/>
      </w:r>
      <w:r w:rsidRPr="007B28F3">
        <w:rPr>
          <w:rFonts w:eastAsia="sourcesanspro"/>
          <w:color w:val="000000"/>
          <w:sz w:val="22"/>
          <w:szCs w:val="22"/>
        </w:rPr>
        <w:br/>
      </w:r>
      <w:r w:rsidRPr="007B28F3">
        <w:rPr>
          <w:rFonts w:eastAsia="sourcesanspro"/>
          <w:color w:val="000000"/>
          <w:sz w:val="22"/>
          <w:szCs w:val="22"/>
          <w:shd w:val="clear" w:color="auto" w:fill="FFFFFF"/>
        </w:rPr>
        <w:t>6. Le moyen n</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est donc fondé.</w:t>
      </w:r>
    </w:p>
    <w:p w14:paraId="3B9F9708" w14:textId="77777777" w:rsidR="00C7630B" w:rsidRPr="007B28F3" w:rsidRDefault="00C7630B" w:rsidP="00C7630B">
      <w:pPr>
        <w:rPr>
          <w:sz w:val="22"/>
          <w:szCs w:val="22"/>
        </w:rPr>
        <w:sectPr w:rsidR="00C7630B" w:rsidRPr="007B28F3" w:rsidSect="00C7630B">
          <w:type w:val="continuous"/>
          <w:pgSz w:w="11906" w:h="16838"/>
          <w:pgMar w:top="1417" w:right="1417" w:bottom="1417" w:left="1417" w:header="708" w:footer="708" w:gutter="0"/>
          <w:cols w:num="2" w:space="708"/>
          <w:docGrid w:linePitch="360"/>
        </w:sectPr>
      </w:pPr>
      <w:r w:rsidRPr="007B28F3">
        <w:rPr>
          <w:rFonts w:eastAsia="sourcesanspro"/>
          <w:color w:val="000000"/>
          <w:sz w:val="22"/>
          <w:szCs w:val="22"/>
        </w:rPr>
        <w:br/>
      </w:r>
      <w:r w:rsidRPr="007B28F3">
        <w:rPr>
          <w:rFonts w:eastAsia="sourcesanspro"/>
          <w:color w:val="000000"/>
          <w:sz w:val="22"/>
          <w:szCs w:val="22"/>
          <w:shd w:val="clear" w:color="auto" w:fill="FFFFFF"/>
        </w:rPr>
        <w:t>PAR CES MOTIFS, la Cour :</w:t>
      </w:r>
      <w:r w:rsidRPr="007B28F3">
        <w:rPr>
          <w:rFonts w:eastAsia="sourcesanspro"/>
          <w:color w:val="000000"/>
          <w:sz w:val="22"/>
          <w:szCs w:val="22"/>
        </w:rPr>
        <w:t xml:space="preserve"> </w:t>
      </w:r>
      <w:r w:rsidRPr="007B28F3">
        <w:rPr>
          <w:rFonts w:eastAsia="sourcesanspro"/>
          <w:color w:val="000000"/>
          <w:sz w:val="22"/>
          <w:szCs w:val="22"/>
          <w:shd w:val="clear" w:color="auto" w:fill="FFFFFF"/>
        </w:rPr>
        <w:t>REJETTE le pourvoi</w:t>
      </w:r>
      <w:r w:rsidRPr="007B28F3">
        <w:rPr>
          <w:sz w:val="22"/>
          <w:szCs w:val="22"/>
        </w:rPr>
        <w:t>.</w:t>
      </w:r>
    </w:p>
    <w:p w14:paraId="7471E053" w14:textId="77777777" w:rsidR="00C7630B" w:rsidRPr="007B28F3" w:rsidRDefault="00C7630B" w:rsidP="00C7630B">
      <w:pPr>
        <w:rPr>
          <w:sz w:val="22"/>
          <w:szCs w:val="22"/>
        </w:rPr>
      </w:pPr>
    </w:p>
    <w:p w14:paraId="4FB7C8DC" w14:textId="77777777" w:rsidR="00C7630B" w:rsidRPr="00C67153" w:rsidRDefault="00C7630B" w:rsidP="00C7630B">
      <w:pPr>
        <w:spacing w:line="276" w:lineRule="auto"/>
        <w:rPr>
          <w:b/>
          <w:bCs/>
          <w:sz w:val="22"/>
          <w:szCs w:val="22"/>
          <w:u w:val="thick"/>
        </w:rPr>
      </w:pPr>
    </w:p>
    <w:p w14:paraId="58A191BD" w14:textId="77777777" w:rsidR="00C7630B" w:rsidRPr="007B28F3" w:rsidRDefault="00C7630B" w:rsidP="00C7630B">
      <w:pPr>
        <w:spacing w:line="276" w:lineRule="auto"/>
        <w:rPr>
          <w:b/>
          <w:bCs/>
          <w:sz w:val="22"/>
          <w:szCs w:val="22"/>
          <w:lang w:val="en-US"/>
        </w:rPr>
      </w:pPr>
      <w:r w:rsidRPr="007B28F3">
        <w:rPr>
          <w:b/>
          <w:bCs/>
          <w:sz w:val="22"/>
          <w:szCs w:val="22"/>
          <w:u w:val="thick"/>
          <w:lang w:val="en-US"/>
        </w:rPr>
        <w:t xml:space="preserve">Doc. n° </w:t>
      </w:r>
      <w:r>
        <w:rPr>
          <w:b/>
          <w:bCs/>
          <w:sz w:val="22"/>
          <w:szCs w:val="22"/>
          <w:u w:val="thick"/>
          <w:lang w:val="en-US"/>
        </w:rPr>
        <w:t>4</w:t>
      </w:r>
      <w:r w:rsidRPr="007B28F3">
        <w:rPr>
          <w:b/>
          <w:bCs/>
          <w:sz w:val="22"/>
          <w:szCs w:val="22"/>
          <w:lang w:val="en-US"/>
        </w:rPr>
        <w:t xml:space="preserve"> : Cass. com., 4 </w:t>
      </w:r>
      <w:proofErr w:type="spellStart"/>
      <w:r w:rsidRPr="007B28F3">
        <w:rPr>
          <w:b/>
          <w:bCs/>
          <w:sz w:val="22"/>
          <w:szCs w:val="22"/>
          <w:lang w:val="en-US"/>
        </w:rPr>
        <w:t>nov.</w:t>
      </w:r>
      <w:proofErr w:type="spellEnd"/>
      <w:r w:rsidRPr="007B28F3">
        <w:rPr>
          <w:b/>
          <w:bCs/>
          <w:sz w:val="22"/>
          <w:szCs w:val="22"/>
          <w:lang w:val="en-US"/>
        </w:rPr>
        <w:t xml:space="preserve"> 2014, n° 13-24.706</w:t>
      </w:r>
    </w:p>
    <w:p w14:paraId="4960D621" w14:textId="77777777" w:rsidR="00C7630B" w:rsidRPr="007B28F3" w:rsidRDefault="00C7630B" w:rsidP="00C7630B">
      <w:pPr>
        <w:spacing w:line="276" w:lineRule="auto"/>
        <w:rPr>
          <w:b/>
          <w:bCs/>
          <w:sz w:val="22"/>
          <w:szCs w:val="22"/>
          <w:lang w:val="en-US"/>
        </w:rPr>
      </w:pPr>
    </w:p>
    <w:p w14:paraId="23037AFE" w14:textId="77777777" w:rsidR="00C7630B" w:rsidRPr="007B28F3" w:rsidRDefault="00C7630B" w:rsidP="00C7630B">
      <w:pPr>
        <w:pStyle w:val="NormalWeb"/>
        <w:shd w:val="clear" w:color="auto" w:fill="FFFFFF"/>
        <w:spacing w:before="0" w:beforeAutospacing="0" w:after="240" w:afterAutospacing="0"/>
        <w:jc w:val="both"/>
        <w:rPr>
          <w:rFonts w:eastAsia="sourcesanspro"/>
          <w:color w:val="000000"/>
          <w:sz w:val="22"/>
          <w:szCs w:val="22"/>
          <w:lang w:val="en-US"/>
        </w:rPr>
        <w:sectPr w:rsidR="00C7630B" w:rsidRPr="007B28F3" w:rsidSect="00C7630B">
          <w:type w:val="continuous"/>
          <w:pgSz w:w="11906" w:h="16838"/>
          <w:pgMar w:top="1417" w:right="1417" w:bottom="1417" w:left="1417" w:header="708" w:footer="708" w:gutter="0"/>
          <w:cols w:space="708"/>
          <w:docGrid w:linePitch="360"/>
        </w:sectPr>
      </w:pPr>
    </w:p>
    <w:p w14:paraId="5792354B" w14:textId="77777777" w:rsidR="00C7630B" w:rsidRPr="007B28F3" w:rsidRDefault="00C7630B" w:rsidP="00C7630B">
      <w:pPr>
        <w:pStyle w:val="NormalWeb"/>
        <w:shd w:val="clear" w:color="auto" w:fill="FFFFFF"/>
        <w:spacing w:before="0" w:beforeAutospacing="0" w:after="240" w:afterAutospacing="0"/>
        <w:jc w:val="both"/>
        <w:rPr>
          <w:rFonts w:eastAsia="sourcesanspro"/>
          <w:color w:val="000000"/>
          <w:sz w:val="22"/>
          <w:szCs w:val="22"/>
        </w:rPr>
      </w:pPr>
      <w:r w:rsidRPr="007B28F3">
        <w:rPr>
          <w:rFonts w:eastAsia="sourcesanspro"/>
          <w:color w:val="000000"/>
          <w:sz w:val="22"/>
          <w:szCs w:val="22"/>
        </w:rPr>
        <w:t>Sur le moyen unique :</w:t>
      </w:r>
    </w:p>
    <w:p w14:paraId="1F1361FA" w14:textId="77777777" w:rsidR="00C7630B" w:rsidRPr="007B28F3" w:rsidRDefault="00C7630B" w:rsidP="00C7630B">
      <w:pPr>
        <w:pStyle w:val="NormalWeb"/>
        <w:shd w:val="clear" w:color="auto" w:fill="FFFFFF"/>
        <w:spacing w:before="0" w:beforeAutospacing="0" w:after="240" w:afterAutospacing="0"/>
        <w:jc w:val="both"/>
        <w:rPr>
          <w:rFonts w:eastAsia="sourcesanspro"/>
          <w:color w:val="000000"/>
          <w:sz w:val="22"/>
          <w:szCs w:val="22"/>
        </w:rPr>
      </w:pPr>
      <w:r w:rsidRPr="007B28F3">
        <w:rPr>
          <w:rFonts w:eastAsia="sourcesanspro"/>
          <w:color w:val="000000"/>
          <w:sz w:val="22"/>
          <w:szCs w:val="22"/>
        </w:rPr>
        <w:t>Vu l</w:t>
      </w:r>
      <w:r>
        <w:rPr>
          <w:rFonts w:eastAsia="sourcesanspro"/>
          <w:color w:val="000000"/>
          <w:sz w:val="22"/>
          <w:szCs w:val="22"/>
        </w:rPr>
        <w:t>’</w:t>
      </w:r>
      <w:r w:rsidRPr="007B28F3">
        <w:rPr>
          <w:rFonts w:eastAsia="sourcesanspro"/>
          <w:color w:val="000000"/>
          <w:sz w:val="22"/>
          <w:szCs w:val="22"/>
        </w:rPr>
        <w:t>article L. 341-2 du code de la consommation ;</w:t>
      </w:r>
    </w:p>
    <w:p w14:paraId="45A28498" w14:textId="77777777" w:rsidR="00C7630B" w:rsidRPr="007B28F3" w:rsidRDefault="00C7630B" w:rsidP="00C7630B">
      <w:pPr>
        <w:pStyle w:val="NormalWeb"/>
        <w:shd w:val="clear" w:color="auto" w:fill="FFFFFF"/>
        <w:spacing w:before="0" w:beforeAutospacing="0" w:after="240" w:afterAutospacing="0"/>
        <w:jc w:val="both"/>
        <w:rPr>
          <w:rFonts w:eastAsia="sourcesanspro"/>
          <w:color w:val="000000"/>
          <w:sz w:val="22"/>
          <w:szCs w:val="22"/>
        </w:rPr>
      </w:pPr>
      <w:r w:rsidRPr="007B28F3">
        <w:rPr>
          <w:rFonts w:eastAsia="sourcesanspro"/>
          <w:color w:val="000000"/>
          <w:sz w:val="22"/>
          <w:szCs w:val="22"/>
        </w:rPr>
        <w:t>Attendu, selon l</w:t>
      </w:r>
      <w:r>
        <w:rPr>
          <w:rFonts w:eastAsia="sourcesanspro"/>
          <w:color w:val="000000"/>
          <w:sz w:val="22"/>
          <w:szCs w:val="22"/>
        </w:rPr>
        <w:t>’</w:t>
      </w:r>
      <w:r w:rsidRPr="007B28F3">
        <w:rPr>
          <w:rFonts w:eastAsia="sourcesanspro"/>
          <w:color w:val="000000"/>
          <w:sz w:val="22"/>
          <w:szCs w:val="22"/>
        </w:rPr>
        <w:t>arrêt attaqué, qu</w:t>
      </w:r>
      <w:r>
        <w:rPr>
          <w:rFonts w:eastAsia="sourcesanspro"/>
          <w:color w:val="000000"/>
          <w:sz w:val="22"/>
          <w:szCs w:val="22"/>
        </w:rPr>
        <w:t>’</w:t>
      </w:r>
      <w:r w:rsidRPr="007B28F3">
        <w:rPr>
          <w:rFonts w:eastAsia="sourcesanspro"/>
          <w:color w:val="000000"/>
          <w:sz w:val="22"/>
          <w:szCs w:val="22"/>
        </w:rPr>
        <w:t>assigné en exécution de l</w:t>
      </w:r>
      <w:r>
        <w:rPr>
          <w:rFonts w:eastAsia="sourcesanspro"/>
          <w:color w:val="000000"/>
          <w:sz w:val="22"/>
          <w:szCs w:val="22"/>
        </w:rPr>
        <w:t>’</w:t>
      </w:r>
      <w:r w:rsidRPr="007B28F3">
        <w:rPr>
          <w:rFonts w:eastAsia="sourcesanspro"/>
          <w:color w:val="000000"/>
          <w:sz w:val="22"/>
          <w:szCs w:val="22"/>
        </w:rPr>
        <w:t>engagement de caution qu</w:t>
      </w:r>
      <w:r>
        <w:rPr>
          <w:rFonts w:eastAsia="sourcesanspro"/>
          <w:color w:val="000000"/>
          <w:sz w:val="22"/>
          <w:szCs w:val="22"/>
        </w:rPr>
        <w:t>’</w:t>
      </w:r>
      <w:r w:rsidRPr="007B28F3">
        <w:rPr>
          <w:rFonts w:eastAsia="sourcesanspro"/>
          <w:color w:val="000000"/>
          <w:sz w:val="22"/>
          <w:szCs w:val="22"/>
        </w:rPr>
        <w:t xml:space="preserve">il avait souscrit au profit de la Caisse de crédit mutuel de Chalon-sur-Saône (la caisse) le 30 juillet 2004, en garantie du prêt consenti à la société Jardinerie </w:t>
      </w:r>
      <w:proofErr w:type="spellStart"/>
      <w:r w:rsidRPr="007B28F3">
        <w:rPr>
          <w:rFonts w:eastAsia="sourcesanspro"/>
          <w:color w:val="000000"/>
          <w:sz w:val="22"/>
          <w:szCs w:val="22"/>
        </w:rPr>
        <w:t>Collin</w:t>
      </w:r>
      <w:proofErr w:type="spellEnd"/>
      <w:r w:rsidRPr="007B28F3">
        <w:rPr>
          <w:rFonts w:eastAsia="sourcesanspro"/>
          <w:color w:val="000000"/>
          <w:sz w:val="22"/>
          <w:szCs w:val="22"/>
        </w:rPr>
        <w:t>, M. Y... (la caution) a opposé la nullité de son engagement ;</w:t>
      </w:r>
    </w:p>
    <w:p w14:paraId="06C58DB8" w14:textId="77777777" w:rsidR="00C7630B" w:rsidRPr="007B28F3" w:rsidRDefault="00C7630B" w:rsidP="00C7630B">
      <w:pPr>
        <w:pStyle w:val="NormalWeb"/>
        <w:shd w:val="clear" w:color="auto" w:fill="FFFFFF"/>
        <w:spacing w:before="0" w:beforeAutospacing="0" w:after="240" w:afterAutospacing="0"/>
        <w:jc w:val="both"/>
        <w:rPr>
          <w:rFonts w:eastAsia="sourcesanspro"/>
          <w:color w:val="000000"/>
          <w:sz w:val="22"/>
          <w:szCs w:val="22"/>
        </w:rPr>
      </w:pPr>
      <w:r w:rsidRPr="007B28F3">
        <w:rPr>
          <w:rFonts w:eastAsia="sourcesanspro"/>
          <w:color w:val="000000"/>
          <w:sz w:val="22"/>
          <w:szCs w:val="22"/>
        </w:rPr>
        <w:t>Attendu que, pour prononcer la nullité de l</w:t>
      </w:r>
      <w:r>
        <w:rPr>
          <w:rFonts w:eastAsia="sourcesanspro"/>
          <w:color w:val="000000"/>
          <w:sz w:val="22"/>
          <w:szCs w:val="22"/>
        </w:rPr>
        <w:t>’</w:t>
      </w:r>
      <w:r w:rsidRPr="007B28F3">
        <w:rPr>
          <w:rFonts w:eastAsia="sourcesanspro"/>
          <w:color w:val="000000"/>
          <w:sz w:val="22"/>
          <w:szCs w:val="22"/>
        </w:rPr>
        <w:t>engagement litigieux et rejeter la demande de la caisse, l</w:t>
      </w:r>
      <w:r>
        <w:rPr>
          <w:rFonts w:eastAsia="sourcesanspro"/>
          <w:color w:val="000000"/>
          <w:sz w:val="22"/>
          <w:szCs w:val="22"/>
        </w:rPr>
        <w:t>’</w:t>
      </w:r>
      <w:r w:rsidRPr="007B28F3">
        <w:rPr>
          <w:rFonts w:eastAsia="sourcesanspro"/>
          <w:color w:val="000000"/>
          <w:sz w:val="22"/>
          <w:szCs w:val="22"/>
        </w:rPr>
        <w:t>arrêt relève que la mention manuscrite ne reproduit pas exactement celle exigée par l</w:t>
      </w:r>
      <w:r>
        <w:rPr>
          <w:rFonts w:eastAsia="sourcesanspro"/>
          <w:color w:val="000000"/>
          <w:sz w:val="22"/>
          <w:szCs w:val="22"/>
        </w:rPr>
        <w:t>’</w:t>
      </w:r>
      <w:r w:rsidRPr="007B28F3">
        <w:rPr>
          <w:rFonts w:eastAsia="sourcesanspro"/>
          <w:color w:val="000000"/>
          <w:sz w:val="22"/>
          <w:szCs w:val="22"/>
        </w:rPr>
        <w:t>article L. 341-2 du code de la consommation puisqu</w:t>
      </w:r>
      <w:r>
        <w:rPr>
          <w:rFonts w:eastAsia="sourcesanspro"/>
          <w:color w:val="000000"/>
          <w:sz w:val="22"/>
          <w:szCs w:val="22"/>
        </w:rPr>
        <w:t>’</w:t>
      </w:r>
      <w:r w:rsidRPr="007B28F3">
        <w:rPr>
          <w:rFonts w:eastAsia="sourcesanspro"/>
          <w:color w:val="000000"/>
          <w:sz w:val="22"/>
          <w:szCs w:val="22"/>
        </w:rPr>
        <w:t>il manque le mot «</w:t>
      </w:r>
      <w:r>
        <w:rPr>
          <w:rFonts w:eastAsia="sourcesanspro"/>
          <w:color w:val="000000"/>
          <w:sz w:val="22"/>
          <w:szCs w:val="22"/>
        </w:rPr>
        <w:t> </w:t>
      </w:r>
      <w:r w:rsidRPr="007B28F3">
        <w:rPr>
          <w:rFonts w:eastAsia="sourcesanspro"/>
          <w:color w:val="000000"/>
          <w:sz w:val="22"/>
          <w:szCs w:val="22"/>
        </w:rPr>
        <w:t>intérêts » dans l</w:t>
      </w:r>
      <w:r>
        <w:rPr>
          <w:rFonts w:eastAsia="sourcesanspro"/>
          <w:color w:val="000000"/>
          <w:sz w:val="22"/>
          <w:szCs w:val="22"/>
        </w:rPr>
        <w:t>’</w:t>
      </w:r>
      <w:r w:rsidRPr="007B28F3">
        <w:rPr>
          <w:rFonts w:eastAsia="sourcesanspro"/>
          <w:color w:val="000000"/>
          <w:sz w:val="22"/>
          <w:szCs w:val="22"/>
        </w:rPr>
        <w:t xml:space="preserve">énoncé des sommes que la </w:t>
      </w:r>
      <w:r w:rsidRPr="007B28F3">
        <w:rPr>
          <w:rFonts w:eastAsia="sourcesanspro"/>
          <w:color w:val="000000"/>
          <w:sz w:val="22"/>
          <w:szCs w:val="22"/>
        </w:rPr>
        <w:t>caution s</w:t>
      </w:r>
      <w:r>
        <w:rPr>
          <w:rFonts w:eastAsia="sourcesanspro"/>
          <w:color w:val="000000"/>
          <w:sz w:val="22"/>
          <w:szCs w:val="22"/>
        </w:rPr>
        <w:t>’</w:t>
      </w:r>
      <w:r w:rsidRPr="007B28F3">
        <w:rPr>
          <w:rFonts w:eastAsia="sourcesanspro"/>
          <w:color w:val="000000"/>
          <w:sz w:val="22"/>
          <w:szCs w:val="22"/>
        </w:rPr>
        <w:t>engageait à garantir, le reste étant conforme à la formule légale, et retient que l</w:t>
      </w:r>
      <w:r>
        <w:rPr>
          <w:rFonts w:eastAsia="sourcesanspro"/>
          <w:color w:val="000000"/>
          <w:sz w:val="22"/>
          <w:szCs w:val="22"/>
        </w:rPr>
        <w:t>’</w:t>
      </w:r>
      <w:r w:rsidRPr="007B28F3">
        <w:rPr>
          <w:rFonts w:eastAsia="sourcesanspro"/>
          <w:color w:val="000000"/>
          <w:sz w:val="22"/>
          <w:szCs w:val="22"/>
        </w:rPr>
        <w:t>omission du terme « intérêts », dont rien ne permet de dire si elle résulte d</w:t>
      </w:r>
      <w:r>
        <w:rPr>
          <w:rFonts w:eastAsia="sourcesanspro"/>
          <w:color w:val="000000"/>
          <w:sz w:val="22"/>
          <w:szCs w:val="22"/>
        </w:rPr>
        <w:t>’</w:t>
      </w:r>
      <w:r w:rsidRPr="007B28F3">
        <w:rPr>
          <w:rFonts w:eastAsia="sourcesanspro"/>
          <w:color w:val="000000"/>
          <w:sz w:val="22"/>
          <w:szCs w:val="22"/>
        </w:rPr>
        <w:t>un oubli ou reflète la volonté du signataire, ne peut être qualifiée de simple erreur matérielle, puisqu</w:t>
      </w:r>
      <w:r>
        <w:rPr>
          <w:rFonts w:eastAsia="sourcesanspro"/>
          <w:color w:val="000000"/>
          <w:sz w:val="22"/>
          <w:szCs w:val="22"/>
        </w:rPr>
        <w:t>’</w:t>
      </w:r>
      <w:r w:rsidRPr="007B28F3">
        <w:rPr>
          <w:rFonts w:eastAsia="sourcesanspro"/>
          <w:color w:val="000000"/>
          <w:sz w:val="22"/>
          <w:szCs w:val="22"/>
        </w:rPr>
        <w:t>elle introduit des contradictions dans l</w:t>
      </w:r>
      <w:r>
        <w:rPr>
          <w:rFonts w:eastAsia="sourcesanspro"/>
          <w:color w:val="000000"/>
          <w:sz w:val="22"/>
          <w:szCs w:val="22"/>
        </w:rPr>
        <w:t>’</w:t>
      </w:r>
      <w:r w:rsidRPr="007B28F3">
        <w:rPr>
          <w:rFonts w:eastAsia="sourcesanspro"/>
          <w:color w:val="000000"/>
          <w:sz w:val="22"/>
          <w:szCs w:val="22"/>
        </w:rPr>
        <w:t>acte et une ambiguïté dans l</w:t>
      </w:r>
      <w:r>
        <w:rPr>
          <w:rFonts w:eastAsia="sourcesanspro"/>
          <w:color w:val="000000"/>
          <w:sz w:val="22"/>
          <w:szCs w:val="22"/>
        </w:rPr>
        <w:t>’</w:t>
      </w:r>
      <w:r w:rsidRPr="007B28F3">
        <w:rPr>
          <w:rFonts w:eastAsia="sourcesanspro"/>
          <w:color w:val="000000"/>
          <w:sz w:val="22"/>
          <w:szCs w:val="22"/>
        </w:rPr>
        <w:t>étendue de l</w:t>
      </w:r>
      <w:r>
        <w:rPr>
          <w:rFonts w:eastAsia="sourcesanspro"/>
          <w:color w:val="000000"/>
          <w:sz w:val="22"/>
          <w:szCs w:val="22"/>
        </w:rPr>
        <w:t>’</w:t>
      </w:r>
      <w:r w:rsidRPr="007B28F3">
        <w:rPr>
          <w:rFonts w:eastAsia="sourcesanspro"/>
          <w:color w:val="000000"/>
          <w:sz w:val="22"/>
          <w:szCs w:val="22"/>
        </w:rPr>
        <w:t>engagement de caution et que l</w:t>
      </w:r>
      <w:r>
        <w:rPr>
          <w:rFonts w:eastAsia="sourcesanspro"/>
          <w:color w:val="000000"/>
          <w:sz w:val="22"/>
          <w:szCs w:val="22"/>
        </w:rPr>
        <w:t>’</w:t>
      </w:r>
      <w:r w:rsidRPr="007B28F3">
        <w:rPr>
          <w:rFonts w:eastAsia="sourcesanspro"/>
          <w:color w:val="000000"/>
          <w:sz w:val="22"/>
          <w:szCs w:val="22"/>
        </w:rPr>
        <w:t>on ne peut assimiler les intérêts normaux du prêt aux intérêts de retard ;</w:t>
      </w:r>
    </w:p>
    <w:p w14:paraId="63DA7ECB" w14:textId="77777777" w:rsidR="00C7630B" w:rsidRPr="007B28F3" w:rsidRDefault="00C7630B" w:rsidP="00C7630B">
      <w:pPr>
        <w:pStyle w:val="NormalWeb"/>
        <w:shd w:val="clear" w:color="auto" w:fill="FFFFFF"/>
        <w:spacing w:before="0" w:beforeAutospacing="0" w:after="240" w:afterAutospacing="0"/>
        <w:jc w:val="both"/>
        <w:rPr>
          <w:rFonts w:eastAsia="sourcesanspro"/>
          <w:color w:val="000000"/>
          <w:sz w:val="22"/>
          <w:szCs w:val="22"/>
        </w:rPr>
      </w:pPr>
      <w:r w:rsidRPr="007B28F3">
        <w:rPr>
          <w:rFonts w:eastAsia="sourcesanspro"/>
          <w:color w:val="000000"/>
          <w:sz w:val="22"/>
          <w:szCs w:val="22"/>
        </w:rPr>
        <w:t>Attendu qu</w:t>
      </w:r>
      <w:r>
        <w:rPr>
          <w:rFonts w:eastAsia="sourcesanspro"/>
          <w:color w:val="000000"/>
          <w:sz w:val="22"/>
          <w:szCs w:val="22"/>
        </w:rPr>
        <w:t>’</w:t>
      </w:r>
      <w:r w:rsidRPr="007B28F3">
        <w:rPr>
          <w:rFonts w:eastAsia="sourcesanspro"/>
          <w:color w:val="000000"/>
          <w:sz w:val="22"/>
          <w:szCs w:val="22"/>
        </w:rPr>
        <w:t>en statuant ainsi, alors que cette omission n</w:t>
      </w:r>
      <w:r>
        <w:rPr>
          <w:rFonts w:eastAsia="sourcesanspro"/>
          <w:color w:val="000000"/>
          <w:sz w:val="22"/>
          <w:szCs w:val="22"/>
        </w:rPr>
        <w:t>’</w:t>
      </w:r>
      <w:r w:rsidRPr="007B28F3">
        <w:rPr>
          <w:rFonts w:eastAsia="sourcesanspro"/>
          <w:color w:val="000000"/>
          <w:sz w:val="22"/>
          <w:szCs w:val="22"/>
        </w:rPr>
        <w:t>avait pour conséquence que de limiter l</w:t>
      </w:r>
      <w:r>
        <w:rPr>
          <w:rFonts w:eastAsia="sourcesanspro"/>
          <w:color w:val="000000"/>
          <w:sz w:val="22"/>
          <w:szCs w:val="22"/>
        </w:rPr>
        <w:t>’</w:t>
      </w:r>
      <w:r w:rsidRPr="007B28F3">
        <w:rPr>
          <w:rFonts w:eastAsia="sourcesanspro"/>
          <w:color w:val="000000"/>
          <w:sz w:val="22"/>
          <w:szCs w:val="22"/>
        </w:rPr>
        <w:t>étendue du cautionnement au principal de la dette sans en affecter la validité, la cour d</w:t>
      </w:r>
      <w:r>
        <w:rPr>
          <w:rFonts w:eastAsia="sourcesanspro"/>
          <w:color w:val="000000"/>
          <w:sz w:val="22"/>
          <w:szCs w:val="22"/>
        </w:rPr>
        <w:t>’</w:t>
      </w:r>
      <w:r w:rsidRPr="007B28F3">
        <w:rPr>
          <w:rFonts w:eastAsia="sourcesanspro"/>
          <w:color w:val="000000"/>
          <w:sz w:val="22"/>
          <w:szCs w:val="22"/>
        </w:rPr>
        <w:t>appel a violé le texte susvisé ;</w:t>
      </w:r>
    </w:p>
    <w:p w14:paraId="503F1F5E" w14:textId="77777777" w:rsidR="00C7630B" w:rsidRPr="007B28F3" w:rsidRDefault="00C7630B" w:rsidP="00C7630B">
      <w:pPr>
        <w:pStyle w:val="NormalWeb"/>
        <w:shd w:val="clear" w:color="auto" w:fill="FFFFFF"/>
        <w:spacing w:before="0" w:beforeAutospacing="0" w:after="240" w:afterAutospacing="0"/>
        <w:jc w:val="both"/>
        <w:rPr>
          <w:rFonts w:eastAsia="sourcesanspro"/>
          <w:color w:val="000000"/>
          <w:sz w:val="22"/>
          <w:szCs w:val="22"/>
        </w:rPr>
        <w:sectPr w:rsidR="00C7630B" w:rsidRPr="007B28F3" w:rsidSect="00C7630B">
          <w:type w:val="continuous"/>
          <w:pgSz w:w="11906" w:h="16838"/>
          <w:pgMar w:top="1417" w:right="1417" w:bottom="1417" w:left="1417" w:header="708" w:footer="708" w:gutter="0"/>
          <w:cols w:num="2" w:space="708"/>
          <w:docGrid w:linePitch="360"/>
        </w:sectPr>
      </w:pPr>
      <w:r w:rsidRPr="007B28F3">
        <w:rPr>
          <w:rFonts w:eastAsia="sourcesanspro"/>
          <w:color w:val="000000"/>
          <w:sz w:val="22"/>
          <w:szCs w:val="22"/>
        </w:rPr>
        <w:t>PAR CES MOTIFS : CASSE ET ANNULE.</w:t>
      </w:r>
    </w:p>
    <w:p w14:paraId="20A32906" w14:textId="77777777" w:rsidR="00C7630B" w:rsidRPr="007B28F3" w:rsidRDefault="00C7630B" w:rsidP="00C7630B">
      <w:pPr>
        <w:pStyle w:val="NormalWeb"/>
        <w:shd w:val="clear" w:color="auto" w:fill="FFFFFF"/>
        <w:spacing w:before="0" w:beforeAutospacing="0" w:after="240" w:afterAutospacing="0"/>
        <w:rPr>
          <w:rFonts w:ascii="sourcesanspro" w:eastAsia="sourcesanspro" w:hAnsi="sourcesanspro" w:cs="sourcesanspro"/>
          <w:color w:val="000000"/>
          <w:sz w:val="22"/>
          <w:szCs w:val="22"/>
        </w:rPr>
      </w:pPr>
    </w:p>
    <w:p w14:paraId="2E6996C9" w14:textId="77777777" w:rsidR="00C7630B" w:rsidRPr="007B28F3" w:rsidRDefault="00C7630B" w:rsidP="00C7630B">
      <w:pPr>
        <w:spacing w:line="276" w:lineRule="auto"/>
        <w:rPr>
          <w:b/>
          <w:bCs/>
          <w:sz w:val="22"/>
          <w:szCs w:val="22"/>
          <w:lang w:val="en-US"/>
        </w:rPr>
      </w:pPr>
      <w:r w:rsidRPr="007B28F3">
        <w:rPr>
          <w:b/>
          <w:bCs/>
          <w:sz w:val="22"/>
          <w:szCs w:val="22"/>
          <w:u w:val="thick"/>
          <w:lang w:val="en-US"/>
        </w:rPr>
        <w:t xml:space="preserve">Doc. n° </w:t>
      </w:r>
      <w:r>
        <w:rPr>
          <w:b/>
          <w:bCs/>
          <w:sz w:val="22"/>
          <w:szCs w:val="22"/>
          <w:u w:val="thick"/>
          <w:lang w:val="en-US"/>
        </w:rPr>
        <w:t>5</w:t>
      </w:r>
      <w:r w:rsidRPr="007B28F3">
        <w:rPr>
          <w:b/>
          <w:bCs/>
          <w:sz w:val="22"/>
          <w:szCs w:val="22"/>
          <w:lang w:val="en-US"/>
        </w:rPr>
        <w:t> : Cass. com., 23 oct. 2019, n° 18-11.825</w:t>
      </w:r>
    </w:p>
    <w:p w14:paraId="23CA5B10" w14:textId="77777777" w:rsidR="00C7630B" w:rsidRPr="007B28F3" w:rsidRDefault="00C7630B" w:rsidP="00C7630B">
      <w:pPr>
        <w:spacing w:line="276" w:lineRule="auto"/>
        <w:rPr>
          <w:b/>
          <w:bCs/>
          <w:sz w:val="22"/>
          <w:szCs w:val="22"/>
          <w:lang w:val="en-US"/>
        </w:rPr>
      </w:pPr>
    </w:p>
    <w:p w14:paraId="25143793" w14:textId="77777777" w:rsidR="00C7630B" w:rsidRPr="007B28F3" w:rsidRDefault="00C7630B" w:rsidP="00C7630B">
      <w:pPr>
        <w:rPr>
          <w:rFonts w:ascii="sourcesanspro" w:eastAsia="sourcesanspro" w:hAnsi="sourcesanspro" w:cs="sourcesanspro"/>
          <w:color w:val="000000"/>
          <w:sz w:val="22"/>
          <w:szCs w:val="22"/>
          <w:shd w:val="clear" w:color="auto" w:fill="FFFFFF"/>
          <w:lang w:val="en-US"/>
        </w:rPr>
        <w:sectPr w:rsidR="00C7630B" w:rsidRPr="007B28F3" w:rsidSect="00C7630B">
          <w:type w:val="continuous"/>
          <w:pgSz w:w="11906" w:h="16838"/>
          <w:pgMar w:top="1417" w:right="1417" w:bottom="1417" w:left="1417" w:header="708" w:footer="708" w:gutter="0"/>
          <w:cols w:space="708"/>
          <w:docGrid w:linePitch="360"/>
        </w:sectPr>
      </w:pPr>
    </w:p>
    <w:p w14:paraId="13A4D62D" w14:textId="77777777" w:rsidR="00C7630B" w:rsidRPr="007B28F3" w:rsidRDefault="00C7630B" w:rsidP="00C7630B">
      <w:pPr>
        <w:rPr>
          <w:rFonts w:eastAsia="sourcesanspro"/>
          <w:color w:val="000000"/>
          <w:sz w:val="22"/>
          <w:szCs w:val="22"/>
          <w:shd w:val="clear" w:color="auto" w:fill="FFFFFF"/>
        </w:rPr>
      </w:pPr>
      <w:r w:rsidRPr="007B28F3">
        <w:rPr>
          <w:rFonts w:eastAsia="sourcesanspro"/>
          <w:color w:val="000000"/>
          <w:sz w:val="22"/>
          <w:szCs w:val="22"/>
          <w:shd w:val="clear" w:color="auto" w:fill="FFFFFF"/>
        </w:rPr>
        <w:t>Sur le moyen unique :</w:t>
      </w:r>
    </w:p>
    <w:p w14:paraId="35B932AC" w14:textId="77777777" w:rsidR="00C7630B" w:rsidRPr="007B28F3" w:rsidRDefault="00C7630B" w:rsidP="00C7630B">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Attendu, selon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arrêt attaqué (Aix-en-Provence, 7 décembre 2017), que, par un acte du 4 août 2009, Mme L... s</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est rendue caution à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égard de la société CIC Lyonnaise de banque (la banque) en garantie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un emprunt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un montant de 278 000 euros souscrit par la société Auberge des épis (la société) ; 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 xml:space="preserve">en raison de la défaillance de la société dans le paiement des </w:t>
      </w:r>
      <w:r w:rsidRPr="007B28F3">
        <w:rPr>
          <w:rFonts w:eastAsia="sourcesanspro"/>
          <w:color w:val="000000"/>
          <w:sz w:val="22"/>
          <w:szCs w:val="22"/>
          <w:shd w:val="clear" w:color="auto" w:fill="FFFFFF"/>
        </w:rPr>
        <w:t>échéances de son prêt, la banque a assigné Mme L... en exécution de son engagement laquelle a opposé la nullité du cautionnement ;</w:t>
      </w:r>
    </w:p>
    <w:p w14:paraId="1CD9BE6A" w14:textId="77777777" w:rsidR="00C7630B" w:rsidRPr="007B28F3" w:rsidRDefault="00C7630B" w:rsidP="00C7630B">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Attendu que la banque fait grief à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arrêt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annuler le cautionnement souscrit par Mme L... alors, selon le moyen, 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un acte de cautionnement est valide au regard des exigences de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 xml:space="preserve">article L. 341-2 du code de la consommation dans sa rédaction applicable, </w:t>
      </w:r>
      <w:r w:rsidRPr="007B28F3">
        <w:rPr>
          <w:rFonts w:eastAsia="sourcesanspro"/>
          <w:color w:val="000000"/>
          <w:sz w:val="22"/>
          <w:szCs w:val="22"/>
          <w:shd w:val="clear" w:color="auto" w:fill="FFFFFF"/>
        </w:rPr>
        <w:lastRenderedPageBreak/>
        <w:t>lorsque la mention manuscrite, dont le texte est conforme aux dispositions du texte précité et qui figure sous la signature de la caution, est suivie du paraphe de celle-ci et que ni le sens, ni la portée, ni, en conséquence, la validité de la mention ne s</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en trouvent affectés ; 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en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espèce, la cour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appel a constaté que la mention manuscrite portée sur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acte de cautionnement du 4 août 2009 par Mme L... était conforme aux exigences de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article L. 341-2 du code de la consommation dans sa rédaction applicable et que cette mention, si elle figurait après la signature de la caution, était suivie de son paraphe ; 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en décidant pourtant que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acte de cautionnement était nul, la cour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appel a donc violé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article L. 341-2 du code de la consommation dans sa rédaction applicable ;</w:t>
      </w:r>
    </w:p>
    <w:p w14:paraId="686A9863" w14:textId="77777777" w:rsidR="00C7630B" w:rsidRPr="007B28F3" w:rsidRDefault="00C7630B" w:rsidP="00C7630B">
      <w:pPr>
        <w:rPr>
          <w:rFonts w:eastAsia="sourcesanspro"/>
          <w:color w:val="000000"/>
          <w:sz w:val="22"/>
          <w:szCs w:val="22"/>
          <w:shd w:val="clear" w:color="auto" w:fill="FFFFFF"/>
        </w:rPr>
      </w:pPr>
      <w:r w:rsidRPr="007B28F3">
        <w:rPr>
          <w:rFonts w:eastAsia="sourcesanspro"/>
          <w:color w:val="000000"/>
          <w:sz w:val="22"/>
          <w:szCs w:val="22"/>
        </w:rPr>
        <w:br/>
      </w:r>
      <w:r w:rsidRPr="007B28F3">
        <w:rPr>
          <w:rFonts w:eastAsia="sourcesanspro"/>
          <w:color w:val="000000"/>
          <w:sz w:val="22"/>
          <w:szCs w:val="22"/>
          <w:shd w:val="clear" w:color="auto" w:fill="FFFFFF"/>
        </w:rPr>
        <w:t>Mais attendu que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article L. 341-2 du code de la consommation, dans sa rédaction antérieure à celle issue de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ordonnance du 14 mars 2016, prescrit à peine de nullité que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engagement manuscrit émanant de la caution précède sa signature ; qu</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ayant constaté que la mention manuscrite n</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était suivie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aucune signature et que seul un paraphe était apposé sur la page sur laquelle celle-ci a été reproduite, la cour d</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appel en a exactement déduit que l</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engagement de caution était nul ; que le moyen n</w:t>
      </w:r>
      <w:r>
        <w:rPr>
          <w:rFonts w:eastAsia="sourcesanspro"/>
          <w:color w:val="000000"/>
          <w:sz w:val="22"/>
          <w:szCs w:val="22"/>
          <w:shd w:val="clear" w:color="auto" w:fill="FFFFFF"/>
        </w:rPr>
        <w:t>’</w:t>
      </w:r>
      <w:r w:rsidRPr="007B28F3">
        <w:rPr>
          <w:rFonts w:eastAsia="sourcesanspro"/>
          <w:color w:val="000000"/>
          <w:sz w:val="22"/>
          <w:szCs w:val="22"/>
          <w:shd w:val="clear" w:color="auto" w:fill="FFFFFF"/>
        </w:rPr>
        <w:t>est pas fondé ;</w:t>
      </w:r>
    </w:p>
    <w:p w14:paraId="5C64EA6D" w14:textId="77777777" w:rsidR="00C7630B" w:rsidRPr="007B28F3" w:rsidRDefault="00C7630B" w:rsidP="00C7630B">
      <w:pPr>
        <w:rPr>
          <w:sz w:val="22"/>
          <w:szCs w:val="22"/>
        </w:rPr>
      </w:pPr>
      <w:r w:rsidRPr="007B28F3">
        <w:rPr>
          <w:rFonts w:eastAsia="sourcesanspro"/>
          <w:color w:val="000000"/>
          <w:sz w:val="22"/>
          <w:szCs w:val="22"/>
        </w:rPr>
        <w:br/>
      </w:r>
      <w:r w:rsidRPr="007B28F3">
        <w:rPr>
          <w:rFonts w:eastAsia="sourcesanspro"/>
          <w:color w:val="000000"/>
          <w:sz w:val="22"/>
          <w:szCs w:val="22"/>
          <w:shd w:val="clear" w:color="auto" w:fill="FFFFFF"/>
        </w:rPr>
        <w:t>PAR CES MOTIFS :</w:t>
      </w:r>
      <w:r w:rsidRPr="007B28F3">
        <w:rPr>
          <w:rFonts w:eastAsia="sourcesanspro"/>
          <w:color w:val="000000"/>
          <w:sz w:val="22"/>
          <w:szCs w:val="22"/>
        </w:rPr>
        <w:t xml:space="preserve"> </w:t>
      </w:r>
      <w:r w:rsidRPr="007B28F3">
        <w:rPr>
          <w:rFonts w:eastAsia="sourcesanspro"/>
          <w:color w:val="000000"/>
          <w:sz w:val="22"/>
          <w:szCs w:val="22"/>
          <w:shd w:val="clear" w:color="auto" w:fill="FFFFFF"/>
        </w:rPr>
        <w:t>REJETTE le pourvoi</w:t>
      </w:r>
      <w:r w:rsidRPr="007B28F3">
        <w:rPr>
          <w:sz w:val="22"/>
          <w:szCs w:val="22"/>
        </w:rPr>
        <w:t>.</w:t>
      </w:r>
    </w:p>
    <w:p w14:paraId="268236FC" w14:textId="77777777" w:rsidR="00C7630B" w:rsidRPr="007B28F3" w:rsidRDefault="00C7630B" w:rsidP="00C7630B">
      <w:pPr>
        <w:spacing w:line="276" w:lineRule="auto"/>
        <w:rPr>
          <w:sz w:val="22"/>
          <w:szCs w:val="22"/>
        </w:rPr>
        <w:sectPr w:rsidR="00C7630B" w:rsidRPr="007B28F3" w:rsidSect="00C7630B">
          <w:type w:val="continuous"/>
          <w:pgSz w:w="11906" w:h="16838"/>
          <w:pgMar w:top="1417" w:right="1417" w:bottom="1417" w:left="1417" w:header="708" w:footer="708" w:gutter="0"/>
          <w:cols w:num="2" w:space="708"/>
          <w:docGrid w:linePitch="360"/>
        </w:sectPr>
      </w:pPr>
    </w:p>
    <w:p w14:paraId="6C841DC9" w14:textId="77777777" w:rsidR="00C7630B" w:rsidRPr="007B28F3" w:rsidRDefault="00C7630B" w:rsidP="00C7630B">
      <w:pPr>
        <w:spacing w:line="276" w:lineRule="auto"/>
        <w:rPr>
          <w:sz w:val="22"/>
          <w:szCs w:val="22"/>
        </w:rPr>
      </w:pPr>
    </w:p>
    <w:p w14:paraId="2377A9B9" w14:textId="77777777" w:rsidR="00C7630B" w:rsidRPr="007B28F3" w:rsidRDefault="00C7630B" w:rsidP="00C7630B">
      <w:pPr>
        <w:spacing w:line="276" w:lineRule="auto"/>
        <w:rPr>
          <w:sz w:val="22"/>
          <w:szCs w:val="22"/>
        </w:rPr>
      </w:pPr>
    </w:p>
    <w:p w14:paraId="40B6E1DE" w14:textId="77777777" w:rsidR="00C7630B" w:rsidRPr="007B28F3" w:rsidRDefault="00C7630B" w:rsidP="00C7630B">
      <w:pPr>
        <w:spacing w:line="276" w:lineRule="auto"/>
        <w:rPr>
          <w:b/>
          <w:bCs/>
          <w:sz w:val="22"/>
          <w:szCs w:val="22"/>
          <w:lang w:val="en-US"/>
        </w:rPr>
      </w:pPr>
      <w:r w:rsidRPr="007B28F3">
        <w:rPr>
          <w:b/>
          <w:bCs/>
          <w:sz w:val="22"/>
          <w:szCs w:val="22"/>
          <w:u w:val="thick"/>
          <w:lang w:val="en-US"/>
        </w:rPr>
        <w:t xml:space="preserve">Doc. n° </w:t>
      </w:r>
      <w:r>
        <w:rPr>
          <w:b/>
          <w:bCs/>
          <w:sz w:val="22"/>
          <w:szCs w:val="22"/>
          <w:u w:val="thick"/>
          <w:lang w:val="en-US"/>
        </w:rPr>
        <w:t>6</w:t>
      </w:r>
      <w:r w:rsidRPr="007B28F3">
        <w:rPr>
          <w:b/>
          <w:bCs/>
          <w:sz w:val="22"/>
          <w:szCs w:val="22"/>
          <w:lang w:val="en-US"/>
        </w:rPr>
        <w:t> : C. civ., art. 2297</w:t>
      </w:r>
    </w:p>
    <w:p w14:paraId="4303DC50" w14:textId="77777777" w:rsidR="00C7630B" w:rsidRPr="007B28F3" w:rsidRDefault="00C7630B" w:rsidP="00C7630B">
      <w:pPr>
        <w:spacing w:line="276" w:lineRule="auto"/>
        <w:rPr>
          <w:b/>
          <w:bCs/>
          <w:sz w:val="22"/>
          <w:szCs w:val="22"/>
          <w:lang w:val="en-US"/>
        </w:rPr>
      </w:pPr>
    </w:p>
    <w:p w14:paraId="0627BAAA" w14:textId="77777777" w:rsidR="00C7630B" w:rsidRPr="007B28F3" w:rsidRDefault="00C7630B" w:rsidP="00C7630B">
      <w:pPr>
        <w:rPr>
          <w:rFonts w:eastAsia="sourcesanspro"/>
          <w:i/>
          <w:iCs/>
          <w:color w:val="000000"/>
          <w:sz w:val="22"/>
          <w:szCs w:val="22"/>
          <w:shd w:val="clear" w:color="auto" w:fill="FFFFFF"/>
        </w:rPr>
      </w:pPr>
      <w:r w:rsidRPr="007B28F3">
        <w:rPr>
          <w:rFonts w:eastAsia="sourcesanspro"/>
          <w:color w:val="000000"/>
          <w:sz w:val="22"/>
          <w:szCs w:val="22"/>
          <w:shd w:val="clear" w:color="auto" w:fill="FFFFFF"/>
        </w:rPr>
        <w:t>« </w:t>
      </w:r>
      <w:r w:rsidRPr="007B28F3">
        <w:rPr>
          <w:rFonts w:eastAsia="sourcesanspro"/>
          <w:i/>
          <w:iCs/>
          <w:color w:val="000000"/>
          <w:sz w:val="22"/>
          <w:szCs w:val="22"/>
          <w:shd w:val="clear" w:color="auto" w:fill="FFFFFF"/>
        </w:rPr>
        <w:t>À peine de nullité de son engagement, la caution personne physique appose elle-même la mention qu</w:t>
      </w:r>
      <w:r>
        <w:rPr>
          <w:rFonts w:eastAsia="sourcesanspro"/>
          <w:i/>
          <w:iCs/>
          <w:color w:val="000000"/>
          <w:sz w:val="22"/>
          <w:szCs w:val="22"/>
          <w:shd w:val="clear" w:color="auto" w:fill="FFFFFF"/>
        </w:rPr>
        <w:t>’</w:t>
      </w:r>
      <w:r w:rsidRPr="007B28F3">
        <w:rPr>
          <w:rFonts w:eastAsia="sourcesanspro"/>
          <w:i/>
          <w:iCs/>
          <w:color w:val="000000"/>
          <w:sz w:val="22"/>
          <w:szCs w:val="22"/>
          <w:shd w:val="clear" w:color="auto" w:fill="FFFFFF"/>
        </w:rPr>
        <w:t>elle s</w:t>
      </w:r>
      <w:r>
        <w:rPr>
          <w:rFonts w:eastAsia="sourcesanspro"/>
          <w:i/>
          <w:iCs/>
          <w:color w:val="000000"/>
          <w:sz w:val="22"/>
          <w:szCs w:val="22"/>
          <w:shd w:val="clear" w:color="auto" w:fill="FFFFFF"/>
        </w:rPr>
        <w:t>’</w:t>
      </w:r>
      <w:r w:rsidRPr="007B28F3">
        <w:rPr>
          <w:rFonts w:eastAsia="sourcesanspro"/>
          <w:i/>
          <w:iCs/>
          <w:color w:val="000000"/>
          <w:sz w:val="22"/>
          <w:szCs w:val="22"/>
          <w:shd w:val="clear" w:color="auto" w:fill="FFFFFF"/>
        </w:rPr>
        <w:t>engage en qualité de caution à payer au créancier ce que lui doit le débiteur en cas de défaillance de celui-ci, dans la limite d</w:t>
      </w:r>
      <w:r>
        <w:rPr>
          <w:rFonts w:eastAsia="sourcesanspro"/>
          <w:i/>
          <w:iCs/>
          <w:color w:val="000000"/>
          <w:sz w:val="22"/>
          <w:szCs w:val="22"/>
          <w:shd w:val="clear" w:color="auto" w:fill="FFFFFF"/>
        </w:rPr>
        <w:t>’</w:t>
      </w:r>
      <w:r w:rsidRPr="007B28F3">
        <w:rPr>
          <w:rFonts w:eastAsia="sourcesanspro"/>
          <w:i/>
          <w:iCs/>
          <w:color w:val="000000"/>
          <w:sz w:val="22"/>
          <w:szCs w:val="22"/>
          <w:shd w:val="clear" w:color="auto" w:fill="FFFFFF"/>
        </w:rPr>
        <w:t>un montant en principal et accessoires exprimé en toutes lettres et en chiffres. En cas de différence, le cautionnement vaut pour la somme écrite en toutes lettres.</w:t>
      </w:r>
    </w:p>
    <w:p w14:paraId="3D30B7D1" w14:textId="77777777" w:rsidR="00C7630B" w:rsidRPr="007B28F3" w:rsidRDefault="00C7630B" w:rsidP="00C7630B">
      <w:pPr>
        <w:rPr>
          <w:rFonts w:eastAsia="sourcesanspro"/>
          <w:i/>
          <w:iCs/>
          <w:color w:val="000000"/>
          <w:sz w:val="22"/>
          <w:szCs w:val="22"/>
          <w:shd w:val="clear" w:color="auto" w:fill="FFFFFF"/>
        </w:rPr>
      </w:pPr>
      <w:r w:rsidRPr="007B28F3">
        <w:rPr>
          <w:rFonts w:eastAsia="sourcesanspro"/>
          <w:i/>
          <w:iCs/>
          <w:color w:val="000000"/>
          <w:sz w:val="22"/>
          <w:szCs w:val="22"/>
        </w:rPr>
        <w:br/>
      </w:r>
      <w:r w:rsidRPr="007B28F3">
        <w:rPr>
          <w:rFonts w:eastAsia="sourcesanspro"/>
          <w:i/>
          <w:iCs/>
          <w:color w:val="000000"/>
          <w:sz w:val="22"/>
          <w:szCs w:val="22"/>
          <w:shd w:val="clear" w:color="auto" w:fill="FFFFFF"/>
        </w:rPr>
        <w:t>Si la caution est privée des bénéfices de discussion ou de division, elle reconnaît dans cette mention ne pouvoir exiger du créancier qu</w:t>
      </w:r>
      <w:r>
        <w:rPr>
          <w:rFonts w:eastAsia="sourcesanspro"/>
          <w:i/>
          <w:iCs/>
          <w:color w:val="000000"/>
          <w:sz w:val="22"/>
          <w:szCs w:val="22"/>
          <w:shd w:val="clear" w:color="auto" w:fill="FFFFFF"/>
        </w:rPr>
        <w:t>’</w:t>
      </w:r>
      <w:r w:rsidRPr="007B28F3">
        <w:rPr>
          <w:rFonts w:eastAsia="sourcesanspro"/>
          <w:i/>
          <w:iCs/>
          <w:color w:val="000000"/>
          <w:sz w:val="22"/>
          <w:szCs w:val="22"/>
          <w:shd w:val="clear" w:color="auto" w:fill="FFFFFF"/>
        </w:rPr>
        <w:t>il poursuive d</w:t>
      </w:r>
      <w:r>
        <w:rPr>
          <w:rFonts w:eastAsia="sourcesanspro"/>
          <w:i/>
          <w:iCs/>
          <w:color w:val="000000"/>
          <w:sz w:val="22"/>
          <w:szCs w:val="22"/>
          <w:shd w:val="clear" w:color="auto" w:fill="FFFFFF"/>
        </w:rPr>
        <w:t>’</w:t>
      </w:r>
      <w:r w:rsidRPr="007B28F3">
        <w:rPr>
          <w:rFonts w:eastAsia="sourcesanspro"/>
          <w:i/>
          <w:iCs/>
          <w:color w:val="000000"/>
          <w:sz w:val="22"/>
          <w:szCs w:val="22"/>
          <w:shd w:val="clear" w:color="auto" w:fill="FFFFFF"/>
        </w:rPr>
        <w:t>abord le débiteur ou qu</w:t>
      </w:r>
      <w:r>
        <w:rPr>
          <w:rFonts w:eastAsia="sourcesanspro"/>
          <w:i/>
          <w:iCs/>
          <w:color w:val="000000"/>
          <w:sz w:val="22"/>
          <w:szCs w:val="22"/>
          <w:shd w:val="clear" w:color="auto" w:fill="FFFFFF"/>
        </w:rPr>
        <w:t>’</w:t>
      </w:r>
      <w:r w:rsidRPr="007B28F3">
        <w:rPr>
          <w:rFonts w:eastAsia="sourcesanspro"/>
          <w:i/>
          <w:iCs/>
          <w:color w:val="000000"/>
          <w:sz w:val="22"/>
          <w:szCs w:val="22"/>
          <w:shd w:val="clear" w:color="auto" w:fill="FFFFFF"/>
        </w:rPr>
        <w:t>il divise ses poursuites entre les cautions. À défaut, elle conserve le droit de se prévaloir de ces bénéfices.</w:t>
      </w:r>
    </w:p>
    <w:p w14:paraId="11089F46" w14:textId="77777777" w:rsidR="00C7630B" w:rsidRPr="007B28F3" w:rsidRDefault="00C7630B" w:rsidP="00C7630B">
      <w:pPr>
        <w:rPr>
          <w:sz w:val="22"/>
          <w:szCs w:val="22"/>
        </w:rPr>
      </w:pPr>
      <w:r w:rsidRPr="007B28F3">
        <w:rPr>
          <w:rFonts w:eastAsia="sourcesanspro"/>
          <w:i/>
          <w:iCs/>
          <w:color w:val="000000"/>
          <w:sz w:val="22"/>
          <w:szCs w:val="22"/>
        </w:rPr>
        <w:br/>
      </w:r>
      <w:r w:rsidRPr="007B28F3">
        <w:rPr>
          <w:rFonts w:eastAsia="sourcesanspro"/>
          <w:i/>
          <w:iCs/>
          <w:color w:val="000000"/>
          <w:sz w:val="22"/>
          <w:szCs w:val="22"/>
          <w:shd w:val="clear" w:color="auto" w:fill="FFFFFF"/>
        </w:rPr>
        <w:t>La personne physique qui donne mandat à autrui de se porter caution doit respecter les dispositions du présent article</w:t>
      </w:r>
      <w:r w:rsidRPr="007B28F3">
        <w:rPr>
          <w:rFonts w:eastAsia="sourcesanspro"/>
          <w:color w:val="000000"/>
          <w:sz w:val="22"/>
          <w:szCs w:val="22"/>
          <w:shd w:val="clear" w:color="auto" w:fill="FFFFFF"/>
        </w:rPr>
        <w:t> ».</w:t>
      </w:r>
    </w:p>
    <w:p w14:paraId="12D30BD0" w14:textId="77777777" w:rsidR="00C7630B" w:rsidRPr="007B28F3" w:rsidRDefault="00C7630B" w:rsidP="00C7630B">
      <w:pPr>
        <w:spacing w:line="276" w:lineRule="auto"/>
        <w:rPr>
          <w:b/>
          <w:bCs/>
          <w:sz w:val="22"/>
          <w:szCs w:val="22"/>
        </w:rPr>
      </w:pPr>
    </w:p>
    <w:p w14:paraId="4578D3B3" w14:textId="77777777" w:rsidR="00C7630B" w:rsidRDefault="00C7630B" w:rsidP="00C7630B">
      <w:pPr>
        <w:spacing w:line="276" w:lineRule="auto"/>
        <w:rPr>
          <w:sz w:val="22"/>
          <w:szCs w:val="22"/>
        </w:rPr>
      </w:pPr>
    </w:p>
    <w:p w14:paraId="475E4927" w14:textId="77777777" w:rsidR="00C7630B" w:rsidRDefault="00C7630B" w:rsidP="00C7630B">
      <w:pPr>
        <w:spacing w:line="276" w:lineRule="auto"/>
        <w:rPr>
          <w:sz w:val="22"/>
          <w:szCs w:val="22"/>
        </w:rPr>
      </w:pPr>
    </w:p>
    <w:p w14:paraId="07292FD1" w14:textId="77777777" w:rsidR="00C7630B" w:rsidRPr="00872EC3" w:rsidRDefault="00C7630B" w:rsidP="00C7630B">
      <w:pPr>
        <w:spacing w:line="276" w:lineRule="auto"/>
        <w:rPr>
          <w:b/>
          <w:bCs/>
          <w:sz w:val="22"/>
          <w:szCs w:val="22"/>
        </w:rPr>
      </w:pPr>
      <w:r w:rsidRPr="00872EC3">
        <w:rPr>
          <w:b/>
          <w:bCs/>
          <w:sz w:val="22"/>
          <w:szCs w:val="22"/>
          <w:u w:val="thick"/>
        </w:rPr>
        <w:t xml:space="preserve">Doc. n° </w:t>
      </w:r>
      <w:r>
        <w:rPr>
          <w:b/>
          <w:bCs/>
          <w:sz w:val="22"/>
          <w:szCs w:val="22"/>
          <w:u w:val="thick"/>
        </w:rPr>
        <w:t>7</w:t>
      </w:r>
      <w:r w:rsidRPr="00872EC3">
        <w:rPr>
          <w:sz w:val="22"/>
          <w:szCs w:val="22"/>
        </w:rPr>
        <w:t xml:space="preserve"> : </w:t>
      </w:r>
      <w:r w:rsidRPr="00872EC3">
        <w:rPr>
          <w:b/>
          <w:bCs/>
          <w:sz w:val="22"/>
          <w:szCs w:val="22"/>
        </w:rPr>
        <w:t>Cass. civ. 1ère, 13 juin 2019, n° 18-13.524</w:t>
      </w:r>
    </w:p>
    <w:p w14:paraId="2B04EAE3" w14:textId="77777777" w:rsidR="00952C24" w:rsidRDefault="00952C24" w:rsidP="00C7630B">
      <w:pPr>
        <w:spacing w:line="276" w:lineRule="auto"/>
        <w:rPr>
          <w:b/>
          <w:bCs/>
        </w:rPr>
        <w:sectPr w:rsidR="00952C24" w:rsidSect="00C7630B">
          <w:type w:val="continuous"/>
          <w:pgSz w:w="11906" w:h="16838"/>
          <w:pgMar w:top="1417" w:right="1417" w:bottom="1417" w:left="1417" w:header="708" w:footer="708" w:gutter="0"/>
          <w:cols w:space="708"/>
          <w:docGrid w:linePitch="360"/>
        </w:sectPr>
      </w:pPr>
    </w:p>
    <w:p w14:paraId="521C25D0" w14:textId="77777777" w:rsidR="00C7630B" w:rsidRDefault="00C7630B" w:rsidP="00C7630B">
      <w:pPr>
        <w:spacing w:line="276" w:lineRule="auto"/>
        <w:rPr>
          <w:b/>
          <w:bCs/>
        </w:rPr>
      </w:pPr>
    </w:p>
    <w:p w14:paraId="1CE381F1" w14:textId="77777777" w:rsidR="00C7630B" w:rsidRDefault="00C7630B" w:rsidP="00C7630B">
      <w:pPr>
        <w:rPr>
          <w:rFonts w:eastAsia="sourcesanspro"/>
          <w:color w:val="000000"/>
          <w:sz w:val="22"/>
          <w:szCs w:val="22"/>
          <w:shd w:val="clear" w:color="auto" w:fill="FFFFFF"/>
        </w:rPr>
        <w:sectPr w:rsidR="00C7630B" w:rsidSect="00952C24">
          <w:type w:val="continuous"/>
          <w:pgSz w:w="11906" w:h="16838"/>
          <w:pgMar w:top="1417" w:right="1417" w:bottom="1417" w:left="1417" w:header="708" w:footer="708" w:gutter="0"/>
          <w:cols w:space="708"/>
          <w:docGrid w:linePitch="360"/>
        </w:sectPr>
      </w:pPr>
    </w:p>
    <w:p w14:paraId="5EFCCB2C" w14:textId="77777777" w:rsidR="00C7630B" w:rsidRDefault="00C7630B" w:rsidP="00C7630B">
      <w:pPr>
        <w:rPr>
          <w:rFonts w:eastAsia="sourcesanspro"/>
          <w:color w:val="000000"/>
          <w:sz w:val="22"/>
          <w:szCs w:val="22"/>
          <w:shd w:val="clear" w:color="auto" w:fill="FFFFFF"/>
        </w:rPr>
      </w:pPr>
      <w:r w:rsidRPr="00872EC3">
        <w:rPr>
          <w:rFonts w:eastAsia="sourcesanspro"/>
          <w:color w:val="000000"/>
          <w:sz w:val="22"/>
          <w:szCs w:val="22"/>
          <w:shd w:val="clear" w:color="auto" w:fill="FFFFFF"/>
        </w:rPr>
        <w:t>Vu l</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article 1415 du code civil ;</w:t>
      </w:r>
    </w:p>
    <w:p w14:paraId="230B41E9" w14:textId="77777777" w:rsidR="00C7630B" w:rsidRDefault="00C7630B" w:rsidP="00C7630B">
      <w:pPr>
        <w:rPr>
          <w:rFonts w:eastAsia="sourcesanspro"/>
          <w:color w:val="000000"/>
          <w:sz w:val="22"/>
          <w:szCs w:val="22"/>
          <w:shd w:val="clear" w:color="auto" w:fill="FFFFFF"/>
        </w:rPr>
      </w:pPr>
      <w:r w:rsidRPr="00872EC3">
        <w:rPr>
          <w:rFonts w:eastAsia="sourcesanspro"/>
          <w:color w:val="000000"/>
          <w:sz w:val="22"/>
          <w:szCs w:val="22"/>
        </w:rPr>
        <w:br/>
      </w:r>
      <w:r w:rsidRPr="00872EC3">
        <w:rPr>
          <w:rFonts w:eastAsia="sourcesanspro"/>
          <w:color w:val="000000"/>
          <w:sz w:val="22"/>
          <w:szCs w:val="22"/>
          <w:shd w:val="clear" w:color="auto" w:fill="FFFFFF"/>
        </w:rPr>
        <w:t>Attendu qu</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aux termes de ce texte, chacun des époux ne peut engager que ses biens propres et ses revenus, par un cautionnement ou un emprunt, à moins que ceux-ci n</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aient été contractés avec le consentement exprès de l</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autre conjoint qui, dans ce cas, n</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engage pas ses biens propres ;</w:t>
      </w:r>
    </w:p>
    <w:p w14:paraId="01EC42D8" w14:textId="77777777" w:rsidR="00C7630B" w:rsidRDefault="00C7630B" w:rsidP="00C7630B">
      <w:pPr>
        <w:rPr>
          <w:rFonts w:eastAsia="sourcesanspro"/>
          <w:color w:val="000000"/>
          <w:sz w:val="22"/>
          <w:szCs w:val="22"/>
          <w:shd w:val="clear" w:color="auto" w:fill="FFFFFF"/>
        </w:rPr>
      </w:pPr>
      <w:r w:rsidRPr="00872EC3">
        <w:rPr>
          <w:rFonts w:eastAsia="sourcesanspro"/>
          <w:color w:val="000000"/>
          <w:sz w:val="22"/>
          <w:szCs w:val="22"/>
        </w:rPr>
        <w:lastRenderedPageBreak/>
        <w:br/>
      </w:r>
      <w:r w:rsidRPr="00872EC3">
        <w:rPr>
          <w:rFonts w:eastAsia="sourcesanspro"/>
          <w:color w:val="000000"/>
          <w:sz w:val="22"/>
          <w:szCs w:val="22"/>
          <w:shd w:val="clear" w:color="auto" w:fill="FFFFFF"/>
        </w:rPr>
        <w:t>Attendu, selon l</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arrêt attaqué, qu</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en sa qualité de caution des engagements souscrits par une société créée avec son fils, M. H... X..., puis placée en liquidation judiciaire, Mme J... a été condamnée à payer diverses sommes à la société HSBC France (la banque) ; que pour recouvrement de sa créance, la banque a engagé une procédure de saisie immobilière portant sur un immeuble dépendant de la communauté existant entre Mme J... et son époux, M. T... X..., et les a assignés aux fins de vente forcée de l</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immeuble ; que ceux-ci ont invoqué l</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absence de consentement donné par M. X... au cautionnement contracté par son épouse, seule ;</w:t>
      </w:r>
      <w:r w:rsidRPr="00872EC3">
        <w:rPr>
          <w:rFonts w:eastAsia="sourcesanspro"/>
          <w:color w:val="000000"/>
          <w:sz w:val="22"/>
          <w:szCs w:val="22"/>
        </w:rPr>
        <w:br/>
      </w:r>
      <w:r w:rsidRPr="00872EC3">
        <w:rPr>
          <w:rFonts w:eastAsia="sourcesanspro"/>
          <w:color w:val="000000"/>
          <w:sz w:val="22"/>
          <w:szCs w:val="22"/>
        </w:rPr>
        <w:br/>
      </w:r>
      <w:r w:rsidRPr="00872EC3">
        <w:rPr>
          <w:rFonts w:eastAsia="sourcesanspro"/>
          <w:color w:val="000000"/>
          <w:sz w:val="22"/>
          <w:szCs w:val="22"/>
          <w:shd w:val="clear" w:color="auto" w:fill="FFFFFF"/>
        </w:rPr>
        <w:t>Attendu que, pour accueillir la demande de la banque, l</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arrêt retient que celle-ci se prévaut d</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un acte sous seing privé de cautionnement solidaire établi au nom du mari, lequel, s</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il est valable, équivaut à un consentement donné par lui à l</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engagement de caution de son épouse, que l</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existence de cet acte, non produit, est certaine, que la banque, qui en est bénéficiaire, est en droit de le considérer comme valable tant qu</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il n</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est pas annulé et que faute de pièces, la cour n</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est pas en mesure d</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en apprécier la validité ;</w:t>
      </w:r>
    </w:p>
    <w:p w14:paraId="5FCCF89D" w14:textId="77777777" w:rsidR="00C7630B" w:rsidRDefault="00C7630B" w:rsidP="00C7630B">
      <w:pPr>
        <w:rPr>
          <w:rFonts w:eastAsia="sourcesanspro"/>
          <w:color w:val="000000"/>
          <w:sz w:val="22"/>
          <w:szCs w:val="22"/>
          <w:shd w:val="clear" w:color="auto" w:fill="FFFFFF"/>
        </w:rPr>
      </w:pPr>
      <w:r w:rsidRPr="00872EC3">
        <w:rPr>
          <w:rFonts w:eastAsia="sourcesanspro"/>
          <w:color w:val="000000"/>
          <w:sz w:val="22"/>
          <w:szCs w:val="22"/>
        </w:rPr>
        <w:br/>
      </w:r>
      <w:r w:rsidRPr="00872EC3">
        <w:rPr>
          <w:rFonts w:eastAsia="sourcesanspro"/>
          <w:color w:val="000000"/>
          <w:sz w:val="22"/>
          <w:szCs w:val="22"/>
          <w:shd w:val="clear" w:color="auto" w:fill="FFFFFF"/>
        </w:rPr>
        <w:t>Qu</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en statuant ainsi, alors que les cautionnements souscrits unilatéralement par Mme J... et M. X... n</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établissaient pas à eux seuls le consentement exprès de chacun d</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eux à l</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engagement de caution de l</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autre, la cour d</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 xml:space="preserve">appel a violé le texte susvisé ; </w:t>
      </w:r>
    </w:p>
    <w:p w14:paraId="556A75F4" w14:textId="77777777" w:rsidR="00C7630B" w:rsidRDefault="00C7630B" w:rsidP="00C7630B">
      <w:pPr>
        <w:rPr>
          <w:rFonts w:eastAsia="sourcesanspro"/>
          <w:color w:val="000000"/>
          <w:sz w:val="22"/>
          <w:szCs w:val="22"/>
          <w:shd w:val="clear" w:color="auto" w:fill="FFFFFF"/>
        </w:rPr>
      </w:pPr>
    </w:p>
    <w:p w14:paraId="703BF717" w14:textId="77777777" w:rsidR="00C7630B" w:rsidRPr="00872EC3" w:rsidRDefault="00C7630B" w:rsidP="00C7630B">
      <w:pPr>
        <w:rPr>
          <w:sz w:val="22"/>
          <w:szCs w:val="22"/>
        </w:rPr>
      </w:pPr>
      <w:r w:rsidRPr="00872EC3">
        <w:rPr>
          <w:rFonts w:eastAsia="sourcesanspro"/>
          <w:color w:val="000000"/>
          <w:sz w:val="22"/>
          <w:szCs w:val="22"/>
          <w:shd w:val="clear" w:color="auto" w:fill="FFFFFF"/>
        </w:rPr>
        <w:t>PAR CES MOTIFS et sans qu</w:t>
      </w:r>
      <w:r>
        <w:rPr>
          <w:rFonts w:eastAsia="sourcesanspro"/>
          <w:color w:val="000000"/>
          <w:sz w:val="22"/>
          <w:szCs w:val="22"/>
          <w:shd w:val="clear" w:color="auto" w:fill="FFFFFF"/>
        </w:rPr>
        <w:t>’</w:t>
      </w:r>
      <w:r w:rsidRPr="00872EC3">
        <w:rPr>
          <w:rFonts w:eastAsia="sourcesanspro"/>
          <w:color w:val="000000"/>
          <w:sz w:val="22"/>
          <w:szCs w:val="22"/>
          <w:shd w:val="clear" w:color="auto" w:fill="FFFFFF"/>
        </w:rPr>
        <w:t>il y ait lieu de statuer sur les autres branches du moyen :</w:t>
      </w:r>
      <w:r w:rsidRPr="00872EC3">
        <w:rPr>
          <w:rFonts w:eastAsia="sourcesanspro"/>
          <w:color w:val="000000"/>
          <w:sz w:val="22"/>
          <w:szCs w:val="22"/>
        </w:rPr>
        <w:t xml:space="preserve"> </w:t>
      </w:r>
      <w:r w:rsidRPr="00872EC3">
        <w:rPr>
          <w:rFonts w:eastAsia="sourcesanspro"/>
          <w:color w:val="000000"/>
          <w:sz w:val="22"/>
          <w:szCs w:val="22"/>
          <w:shd w:val="clear" w:color="auto" w:fill="FFFFFF"/>
        </w:rPr>
        <w:t>CASSE ET ANNULE</w:t>
      </w:r>
      <w:r w:rsidRPr="00872EC3">
        <w:rPr>
          <w:sz w:val="22"/>
          <w:szCs w:val="22"/>
        </w:rPr>
        <w:t>.</w:t>
      </w:r>
    </w:p>
    <w:p w14:paraId="47832B4F" w14:textId="77777777" w:rsidR="00C7630B" w:rsidRDefault="00C7630B" w:rsidP="00C7630B">
      <w:pPr>
        <w:spacing w:line="276" w:lineRule="auto"/>
        <w:rPr>
          <w:sz w:val="22"/>
          <w:szCs w:val="22"/>
        </w:rPr>
        <w:sectPr w:rsidR="00C7630B" w:rsidSect="00952C24">
          <w:type w:val="continuous"/>
          <w:pgSz w:w="11906" w:h="16838"/>
          <w:pgMar w:top="1417" w:right="1417" w:bottom="1417" w:left="1417" w:header="708" w:footer="708" w:gutter="0"/>
          <w:cols w:space="708"/>
          <w:docGrid w:linePitch="360"/>
        </w:sectPr>
      </w:pPr>
    </w:p>
    <w:p w14:paraId="0E215C94" w14:textId="77777777" w:rsidR="00C7630B" w:rsidRDefault="00C7630B" w:rsidP="00C7630B">
      <w:pPr>
        <w:spacing w:line="276" w:lineRule="auto"/>
        <w:rPr>
          <w:sz w:val="22"/>
          <w:szCs w:val="22"/>
        </w:rPr>
      </w:pPr>
    </w:p>
    <w:p w14:paraId="30E95C4E" w14:textId="77777777" w:rsidR="00C7630B" w:rsidRDefault="00C7630B" w:rsidP="00C7630B">
      <w:pPr>
        <w:spacing w:line="276" w:lineRule="auto"/>
        <w:rPr>
          <w:sz w:val="22"/>
          <w:szCs w:val="22"/>
        </w:rPr>
      </w:pPr>
    </w:p>
    <w:p w14:paraId="0386DB34" w14:textId="77777777" w:rsidR="00C7630B" w:rsidRDefault="00C7630B" w:rsidP="00C7630B">
      <w:pPr>
        <w:spacing w:line="276" w:lineRule="auto"/>
        <w:rPr>
          <w:sz w:val="22"/>
          <w:szCs w:val="22"/>
        </w:rPr>
      </w:pPr>
    </w:p>
    <w:p w14:paraId="67941C93" w14:textId="77777777" w:rsidR="00C7630B" w:rsidRDefault="00C7630B" w:rsidP="00C7630B">
      <w:pPr>
        <w:spacing w:line="276" w:lineRule="auto"/>
        <w:rPr>
          <w:sz w:val="22"/>
          <w:szCs w:val="22"/>
        </w:rPr>
      </w:pPr>
    </w:p>
    <w:p w14:paraId="38192691" w14:textId="77777777" w:rsidR="00C7630B" w:rsidRDefault="00C7630B" w:rsidP="00C7630B">
      <w:pPr>
        <w:spacing w:line="276" w:lineRule="auto"/>
        <w:rPr>
          <w:sz w:val="22"/>
          <w:szCs w:val="22"/>
        </w:rPr>
      </w:pPr>
    </w:p>
    <w:p w14:paraId="37E9697C" w14:textId="77777777" w:rsidR="00C7630B" w:rsidRPr="007B28F3" w:rsidRDefault="00C7630B" w:rsidP="00C7630B">
      <w:pPr>
        <w:rPr>
          <w:sz w:val="22"/>
          <w:szCs w:val="22"/>
        </w:rPr>
      </w:pPr>
    </w:p>
    <w:p w14:paraId="1080879A" w14:textId="77777777" w:rsidR="00C7630B" w:rsidRDefault="00C7630B" w:rsidP="00C7630B">
      <w:pPr>
        <w:spacing w:line="276" w:lineRule="auto"/>
        <w:rPr>
          <w:sz w:val="22"/>
          <w:szCs w:val="22"/>
        </w:rPr>
      </w:pPr>
    </w:p>
    <w:p w14:paraId="2DDED259" w14:textId="77777777" w:rsidR="00C7630B" w:rsidRPr="007B28F3" w:rsidRDefault="00C7630B" w:rsidP="00C7630B">
      <w:pPr>
        <w:spacing w:line="276" w:lineRule="auto"/>
        <w:rPr>
          <w:sz w:val="22"/>
          <w:szCs w:val="22"/>
        </w:rPr>
      </w:pPr>
    </w:p>
    <w:p w14:paraId="58386B09" w14:textId="77777777" w:rsidR="00C7630B" w:rsidRDefault="00C7630B" w:rsidP="00C7630B">
      <w:pPr>
        <w:pStyle w:val="Textebrut"/>
        <w:spacing w:before="120" w:after="120" w:line="276" w:lineRule="auto"/>
        <w:jc w:val="center"/>
        <w:rPr>
          <w:rFonts w:ascii="Times New Roman" w:hAnsi="Times New Roman"/>
          <w:b/>
          <w:smallCaps/>
          <w:sz w:val="22"/>
          <w:szCs w:val="22"/>
        </w:rPr>
      </w:pPr>
    </w:p>
    <w:p w14:paraId="2941C38F" w14:textId="77777777" w:rsidR="00C7630B" w:rsidRDefault="00C7630B"/>
    <w:sectPr w:rsidR="00C7630B" w:rsidSect="00C7630B">
      <w:footerReference w:type="even" r:id="rId12"/>
      <w:footerReference w:type="default" r:id="rId13"/>
      <w:type w:val="continuous"/>
      <w:pgSz w:w="11900" w:h="16840"/>
      <w:pgMar w:top="1417" w:right="1417" w:bottom="1417" w:left="1417" w:header="22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0EDC4" w14:textId="77777777" w:rsidR="000C014E" w:rsidRDefault="000C014E">
      <w:pPr>
        <w:spacing w:after="0" w:line="240" w:lineRule="auto"/>
      </w:pPr>
      <w:r>
        <w:separator/>
      </w:r>
    </w:p>
  </w:endnote>
  <w:endnote w:type="continuationSeparator" w:id="0">
    <w:p w14:paraId="2234A94D" w14:textId="77777777" w:rsidR="000C014E" w:rsidRDefault="000C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sourcesanspro">
    <w:altName w:val="Yu Gothic"/>
    <w:panose1 w:val="020B0604020202020204"/>
    <w:charset w:val="80"/>
    <w:family w:val="auto"/>
    <w:pitch w:val="default"/>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Fonts w:eastAsiaTheme="majorEastAsia"/>
      </w:rPr>
      <w:id w:val="-2071344384"/>
      <w:docPartObj>
        <w:docPartGallery w:val="Page Numbers (Bottom of Page)"/>
        <w:docPartUnique/>
      </w:docPartObj>
    </w:sdtPr>
    <w:sdtContent>
      <w:p w14:paraId="2BD307E0" w14:textId="77777777" w:rsidR="00B7552B" w:rsidRDefault="00000000" w:rsidP="00F07346">
        <w:pPr>
          <w:pStyle w:val="Pieddepage"/>
          <w:framePr w:wrap="none" w:vAnchor="text" w:hAnchor="margin" w:xAlign="center"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 PAGE </w:instrText>
        </w:r>
        <w:r>
          <w:rPr>
            <w:rStyle w:val="Numrodepage"/>
            <w:rFonts w:eastAsiaTheme="majorEastAsia"/>
          </w:rPr>
          <w:fldChar w:fldCharType="separate"/>
        </w:r>
        <w:r>
          <w:rPr>
            <w:rStyle w:val="Numrodepage"/>
            <w:rFonts w:eastAsiaTheme="majorEastAsia"/>
            <w:noProof/>
          </w:rPr>
          <w:t>1</w:t>
        </w:r>
        <w:r>
          <w:rPr>
            <w:rStyle w:val="Numrodepage"/>
            <w:rFonts w:eastAsiaTheme="majorEastAsia"/>
          </w:rPr>
          <w:fldChar w:fldCharType="end"/>
        </w:r>
      </w:p>
    </w:sdtContent>
  </w:sdt>
  <w:p w14:paraId="59E1E5CE" w14:textId="77777777" w:rsidR="00B7552B" w:rsidRDefault="00B755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Fonts w:eastAsiaTheme="majorEastAsia"/>
      </w:rPr>
      <w:id w:val="982667909"/>
      <w:docPartObj>
        <w:docPartGallery w:val="Page Numbers (Bottom of Page)"/>
        <w:docPartUnique/>
      </w:docPartObj>
    </w:sdtPr>
    <w:sdtContent>
      <w:p w14:paraId="2AD1E301" w14:textId="77777777" w:rsidR="00B7552B" w:rsidRDefault="00000000" w:rsidP="00F07346">
        <w:pPr>
          <w:pStyle w:val="Pieddepage"/>
          <w:framePr w:wrap="none" w:vAnchor="text" w:hAnchor="margin" w:xAlign="center" w:y="1"/>
          <w:rPr>
            <w:rStyle w:val="Numrodepage"/>
            <w:rFonts w:eastAsiaTheme="majorEastAsia"/>
          </w:rPr>
        </w:pPr>
        <w:r>
          <w:rPr>
            <w:rStyle w:val="Numrodepage"/>
            <w:rFonts w:eastAsiaTheme="majorEastAsia"/>
          </w:rPr>
          <w:t>-</w:t>
        </w:r>
        <w:r w:rsidRPr="00CE1831">
          <w:rPr>
            <w:rStyle w:val="Numrodepage"/>
            <w:rFonts w:ascii="Garamond" w:eastAsiaTheme="majorEastAsia" w:hAnsi="Garamond"/>
          </w:rPr>
          <w:fldChar w:fldCharType="begin"/>
        </w:r>
        <w:r w:rsidRPr="00CE1831">
          <w:rPr>
            <w:rStyle w:val="Numrodepage"/>
            <w:rFonts w:ascii="Garamond" w:eastAsiaTheme="majorEastAsia" w:hAnsi="Garamond"/>
          </w:rPr>
          <w:instrText xml:space="preserve"> PAGE </w:instrText>
        </w:r>
        <w:r w:rsidRPr="00CE1831">
          <w:rPr>
            <w:rStyle w:val="Numrodepage"/>
            <w:rFonts w:ascii="Garamond" w:eastAsiaTheme="majorEastAsia" w:hAnsi="Garamond"/>
          </w:rPr>
          <w:fldChar w:fldCharType="separate"/>
        </w:r>
        <w:r w:rsidRPr="00CE1831">
          <w:rPr>
            <w:rStyle w:val="Numrodepage"/>
            <w:rFonts w:ascii="Garamond" w:eastAsiaTheme="majorEastAsia" w:hAnsi="Garamond"/>
            <w:noProof/>
          </w:rPr>
          <w:t>1</w:t>
        </w:r>
        <w:r w:rsidRPr="00CE1831">
          <w:rPr>
            <w:rStyle w:val="Numrodepage"/>
            <w:rFonts w:ascii="Garamond" w:eastAsiaTheme="majorEastAsia" w:hAnsi="Garamond"/>
          </w:rPr>
          <w:fldChar w:fldCharType="end"/>
        </w:r>
        <w:r>
          <w:rPr>
            <w:rStyle w:val="Numrodepage"/>
            <w:rFonts w:ascii="Garamond" w:eastAsiaTheme="majorEastAsia" w:hAnsi="Garamond"/>
          </w:rPr>
          <w:t>-</w:t>
        </w:r>
      </w:p>
    </w:sdtContent>
  </w:sdt>
  <w:p w14:paraId="50FE6645" w14:textId="77777777" w:rsidR="00B7552B" w:rsidRDefault="00B7552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00132910"/>
      <w:docPartObj>
        <w:docPartGallery w:val="Page Numbers (Bottom of Page)"/>
        <w:docPartUnique/>
      </w:docPartObj>
    </w:sdtPr>
    <w:sdtContent>
      <w:p w14:paraId="65440D69" w14:textId="77777777" w:rsidR="00B7552B" w:rsidRDefault="00000000" w:rsidP="00B87D46">
        <w:pPr>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EC361C9" w14:textId="77777777" w:rsidR="00B7552B" w:rsidRDefault="00B7552B" w:rsidP="00B87D4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B6F5E" w14:textId="77777777" w:rsidR="00B7552B" w:rsidRPr="00BF3827" w:rsidRDefault="00000000" w:rsidP="00426EB2">
    <w:pPr>
      <w:jc w:val="center"/>
    </w:pPr>
    <w:r w:rsidRPr="00BF3827">
      <w:t xml:space="preserve">Page </w:t>
    </w:r>
    <w:r w:rsidRPr="00BF3827">
      <w:fldChar w:fldCharType="begin"/>
    </w:r>
    <w:r w:rsidRPr="00BF3827">
      <w:instrText>PAGE  \* Arabic  \* MERGEFORMAT</w:instrText>
    </w:r>
    <w:r w:rsidRPr="00BF3827">
      <w:fldChar w:fldCharType="separate"/>
    </w:r>
    <w:r w:rsidRPr="00BF3827">
      <w:t>2</w:t>
    </w:r>
    <w:r w:rsidRPr="00BF3827">
      <w:fldChar w:fldCharType="end"/>
    </w:r>
    <w:r w:rsidRPr="00BF3827">
      <w:t xml:space="preserve"> sur </w:t>
    </w:r>
    <w:fldSimple w:instr="NUMPAGES  \* Arabic  \* MERGEFORMAT">
      <w:r w:rsidR="00B7552B" w:rsidRPr="00BF3827">
        <w:t>2</w:t>
      </w:r>
    </w:fldSimple>
  </w:p>
  <w:p w14:paraId="0B3C294A" w14:textId="77777777" w:rsidR="00B7552B" w:rsidRPr="00BF3827" w:rsidRDefault="00B7552B" w:rsidP="00B87D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0A568" w14:textId="77777777" w:rsidR="000C014E" w:rsidRDefault="000C014E">
      <w:pPr>
        <w:spacing w:after="0" w:line="240" w:lineRule="auto"/>
      </w:pPr>
      <w:r>
        <w:separator/>
      </w:r>
    </w:p>
  </w:footnote>
  <w:footnote w:type="continuationSeparator" w:id="0">
    <w:p w14:paraId="3219081B" w14:textId="77777777" w:rsidR="000C014E" w:rsidRDefault="000C01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0B"/>
    <w:rsid w:val="000C014E"/>
    <w:rsid w:val="002B25C4"/>
    <w:rsid w:val="004C015C"/>
    <w:rsid w:val="007B3CDD"/>
    <w:rsid w:val="007D35AF"/>
    <w:rsid w:val="00952C24"/>
    <w:rsid w:val="00B7552B"/>
    <w:rsid w:val="00C44E08"/>
    <w:rsid w:val="00C7630B"/>
    <w:rsid w:val="00D67B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DB5CB4D"/>
  <w15:chartTrackingRefBased/>
  <w15:docId w15:val="{CFA6B31A-BBCF-B148-9F72-FDB26541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Normal"/>
    <w:qFormat/>
    <w:rsid w:val="00C7630B"/>
    <w:pPr>
      <w:spacing w:line="259" w:lineRule="auto"/>
      <w:jc w:val="both"/>
    </w:pPr>
    <w:rPr>
      <w:rFonts w:ascii="Times New Roman" w:eastAsia="Times New Roman" w:hAnsi="Times New Roman" w:cs="Times New Roman"/>
      <w:color w:val="000000" w:themeColor="text1"/>
      <w:kern w:val="0"/>
      <w14:ligatures w14:val="none"/>
    </w:rPr>
  </w:style>
  <w:style w:type="paragraph" w:styleId="Titre1">
    <w:name w:val="heading 1"/>
    <w:basedOn w:val="Normal"/>
    <w:next w:val="Normal"/>
    <w:link w:val="Titre1Car"/>
    <w:uiPriority w:val="9"/>
    <w:qFormat/>
    <w:rsid w:val="00C7630B"/>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C7630B"/>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C7630B"/>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C7630B"/>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C7630B"/>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C7630B"/>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C7630B"/>
    <w:pPr>
      <w:keepNext/>
      <w:keepLines/>
      <w:spacing w:before="40" w:after="0" w:line="278" w:lineRule="auto"/>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C7630B"/>
    <w:pPr>
      <w:keepNext/>
      <w:keepLines/>
      <w:spacing w:after="0" w:line="278" w:lineRule="auto"/>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C7630B"/>
    <w:pPr>
      <w:keepNext/>
      <w:keepLines/>
      <w:spacing w:after="0" w:line="278" w:lineRule="auto"/>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630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7630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7630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7630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7630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7630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7630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7630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7630B"/>
    <w:rPr>
      <w:rFonts w:eastAsiaTheme="majorEastAsia" w:cstheme="majorBidi"/>
      <w:color w:val="272727" w:themeColor="text1" w:themeTint="D8"/>
    </w:rPr>
  </w:style>
  <w:style w:type="paragraph" w:styleId="Titre">
    <w:name w:val="Title"/>
    <w:basedOn w:val="Normal"/>
    <w:next w:val="Normal"/>
    <w:link w:val="TitreCar"/>
    <w:uiPriority w:val="10"/>
    <w:qFormat/>
    <w:rsid w:val="00C7630B"/>
    <w:pPr>
      <w:spacing w:after="80" w:line="240" w:lineRule="auto"/>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reCar">
    <w:name w:val="Titre Car"/>
    <w:basedOn w:val="Policepardfaut"/>
    <w:link w:val="Titre"/>
    <w:uiPriority w:val="10"/>
    <w:rsid w:val="00C7630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7630B"/>
    <w:pPr>
      <w:numPr>
        <w:ilvl w:val="1"/>
      </w:numPr>
      <w:spacing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C7630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7630B"/>
    <w:pPr>
      <w:spacing w:before="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ionCar">
    <w:name w:val="Citation Car"/>
    <w:basedOn w:val="Policepardfaut"/>
    <w:link w:val="Citation"/>
    <w:uiPriority w:val="29"/>
    <w:rsid w:val="00C7630B"/>
    <w:rPr>
      <w:i/>
      <w:iCs/>
      <w:color w:val="404040" w:themeColor="text1" w:themeTint="BF"/>
    </w:rPr>
  </w:style>
  <w:style w:type="paragraph" w:styleId="Paragraphedeliste">
    <w:name w:val="List Paragraph"/>
    <w:basedOn w:val="Normal"/>
    <w:uiPriority w:val="34"/>
    <w:qFormat/>
    <w:rsid w:val="00C7630B"/>
    <w:pPr>
      <w:spacing w:line="278" w:lineRule="auto"/>
      <w:ind w:left="720"/>
      <w:contextualSpacing/>
      <w:jc w:val="left"/>
    </w:pPr>
    <w:rPr>
      <w:rFonts w:asciiTheme="minorHAnsi" w:eastAsiaTheme="minorHAnsi" w:hAnsiTheme="minorHAnsi" w:cstheme="minorBidi"/>
      <w:color w:val="auto"/>
      <w:kern w:val="2"/>
      <w14:ligatures w14:val="standardContextual"/>
    </w:rPr>
  </w:style>
  <w:style w:type="character" w:styleId="Accentuationintense">
    <w:name w:val="Intense Emphasis"/>
    <w:basedOn w:val="Policepardfaut"/>
    <w:uiPriority w:val="21"/>
    <w:qFormat/>
    <w:rsid w:val="00C7630B"/>
    <w:rPr>
      <w:i/>
      <w:iCs/>
      <w:color w:val="0F4761" w:themeColor="accent1" w:themeShade="BF"/>
    </w:rPr>
  </w:style>
  <w:style w:type="paragraph" w:styleId="Citationintense">
    <w:name w:val="Intense Quote"/>
    <w:basedOn w:val="Normal"/>
    <w:next w:val="Normal"/>
    <w:link w:val="CitationintenseCar"/>
    <w:uiPriority w:val="30"/>
    <w:qFormat/>
    <w:rsid w:val="00C7630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C7630B"/>
    <w:rPr>
      <w:i/>
      <w:iCs/>
      <w:color w:val="0F4761" w:themeColor="accent1" w:themeShade="BF"/>
    </w:rPr>
  </w:style>
  <w:style w:type="character" w:styleId="Rfrenceintense">
    <w:name w:val="Intense Reference"/>
    <w:basedOn w:val="Policepardfaut"/>
    <w:uiPriority w:val="32"/>
    <w:qFormat/>
    <w:rsid w:val="00C7630B"/>
    <w:rPr>
      <w:b/>
      <w:bCs/>
      <w:smallCaps/>
      <w:color w:val="0F4761" w:themeColor="accent1" w:themeShade="BF"/>
      <w:spacing w:val="5"/>
    </w:rPr>
  </w:style>
  <w:style w:type="paragraph" w:styleId="NormalWeb">
    <w:name w:val="Normal (Web)"/>
    <w:basedOn w:val="Normal"/>
    <w:uiPriority w:val="99"/>
    <w:unhideWhenUsed/>
    <w:rsid w:val="00C7630B"/>
    <w:pPr>
      <w:spacing w:before="100" w:beforeAutospacing="1" w:after="100" w:afterAutospacing="1"/>
      <w:jc w:val="center"/>
    </w:pPr>
    <w:rPr>
      <w:rFonts w:eastAsiaTheme="minorEastAsia"/>
      <w:i/>
      <w:sz w:val="20"/>
      <w:szCs w:val="20"/>
    </w:rPr>
  </w:style>
  <w:style w:type="paragraph" w:styleId="Pieddepage">
    <w:name w:val="footer"/>
    <w:basedOn w:val="Normal"/>
    <w:link w:val="PieddepageCar"/>
    <w:uiPriority w:val="99"/>
    <w:unhideWhenUsed/>
    <w:rsid w:val="00C7630B"/>
    <w:pPr>
      <w:tabs>
        <w:tab w:val="center" w:pos="4536"/>
        <w:tab w:val="right" w:pos="9072"/>
      </w:tabs>
    </w:pPr>
  </w:style>
  <w:style w:type="character" w:customStyle="1" w:styleId="PieddepageCar">
    <w:name w:val="Pied de page Car"/>
    <w:basedOn w:val="Policepardfaut"/>
    <w:link w:val="Pieddepage"/>
    <w:uiPriority w:val="99"/>
    <w:rsid w:val="00C7630B"/>
    <w:rPr>
      <w:rFonts w:ascii="Times New Roman" w:eastAsia="Times New Roman" w:hAnsi="Times New Roman" w:cs="Times New Roman"/>
      <w:color w:val="000000" w:themeColor="text1"/>
      <w:kern w:val="0"/>
      <w14:ligatures w14:val="none"/>
    </w:rPr>
  </w:style>
  <w:style w:type="character" w:styleId="Numrodepage">
    <w:name w:val="page number"/>
    <w:basedOn w:val="Policepardfaut"/>
    <w:uiPriority w:val="99"/>
    <w:semiHidden/>
    <w:unhideWhenUsed/>
    <w:rsid w:val="00C7630B"/>
  </w:style>
  <w:style w:type="paragraph" w:styleId="Textebrut">
    <w:name w:val="Plain Text"/>
    <w:basedOn w:val="Normal"/>
    <w:link w:val="TextebrutCar"/>
    <w:rsid w:val="00C7630B"/>
    <w:pPr>
      <w:spacing w:after="0" w:line="240" w:lineRule="auto"/>
    </w:pPr>
    <w:rPr>
      <w:rFonts w:ascii="Courier New" w:hAnsi="Courier New"/>
      <w:sz w:val="20"/>
      <w:szCs w:val="20"/>
      <w:lang w:eastAsia="fr-FR"/>
    </w:rPr>
  </w:style>
  <w:style w:type="character" w:customStyle="1" w:styleId="TextebrutCar">
    <w:name w:val="Texte brut Car"/>
    <w:basedOn w:val="Policepardfaut"/>
    <w:link w:val="Textebrut"/>
    <w:rsid w:val="00C7630B"/>
    <w:rPr>
      <w:rFonts w:ascii="Courier New" w:eastAsia="Times New Roman" w:hAnsi="Courier New" w:cs="Times New Roman"/>
      <w:color w:val="000000" w:themeColor="text1"/>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legifrance.gouv.fr/affichCodeArticle.do?cidTexte=LEGITEXT000006070721&amp;idArticle=LEGIARTI000006448195&amp;dateTexte=&amp;categorieLien=cid"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3348</Words>
  <Characters>18414</Characters>
  <Application>Microsoft Office Word</Application>
  <DocSecurity>0</DocSecurity>
  <Lines>153</Lines>
  <Paragraphs>43</Paragraphs>
  <ScaleCrop>false</ScaleCrop>
  <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FR</dc:creator>
  <cp:keywords/>
  <dc:description/>
  <cp:lastModifiedBy>C FR</cp:lastModifiedBy>
  <cp:revision>5</cp:revision>
  <dcterms:created xsi:type="dcterms:W3CDTF">2024-09-24T14:18:00Z</dcterms:created>
  <dcterms:modified xsi:type="dcterms:W3CDTF">2024-09-25T18:06:00Z</dcterms:modified>
</cp:coreProperties>
</file>