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91853" w14:textId="77777777" w:rsidR="00964855" w:rsidRPr="00964855" w:rsidRDefault="00964855" w:rsidP="00964855">
      <w:pPr>
        <w:spacing w:before="0" w:after="0" w:line="360" w:lineRule="auto"/>
        <w:jc w:val="center"/>
        <w:rPr>
          <w:rFonts w:eastAsia="Calibri" w:cs="Times New Roman (Corps CS)"/>
          <w:b/>
          <w:sz w:val="28"/>
          <w:szCs w:val="28"/>
          <w:lang w:eastAsia="en-US"/>
        </w:rPr>
      </w:pPr>
      <w:r w:rsidRPr="00964855">
        <w:rPr>
          <w:rFonts w:eastAsia="Calibri" w:cs="Times New Roman (Corps CS)"/>
          <w:b/>
          <w:noProof/>
          <w:sz w:val="28"/>
          <w:szCs w:val="28"/>
          <w:lang w:eastAsia="en-US"/>
        </w:rPr>
        <w:drawing>
          <wp:anchor distT="0" distB="0" distL="114300" distR="114300" simplePos="0" relativeHeight="251659264" behindDoc="0" locked="0" layoutInCell="1" allowOverlap="1" wp14:anchorId="5DB3383E" wp14:editId="3F819743">
            <wp:simplePos x="0" y="0"/>
            <wp:positionH relativeFrom="margin">
              <wp:align>left</wp:align>
            </wp:positionH>
            <wp:positionV relativeFrom="margin">
              <wp:align>top</wp:align>
            </wp:positionV>
            <wp:extent cx="1144541" cy="108000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6">
                      <a:extLst>
                        <a:ext uri="{28A0092B-C50C-407E-A947-70E740481C1C}">
                          <a14:useLocalDpi xmlns:a14="http://schemas.microsoft.com/office/drawing/2010/main" val="0"/>
                        </a:ext>
                      </a:extLst>
                    </a:blip>
                    <a:stretch>
                      <a:fillRect/>
                    </a:stretch>
                  </pic:blipFill>
                  <pic:spPr>
                    <a:xfrm>
                      <a:off x="0" y="0"/>
                      <a:ext cx="1144541" cy="1080000"/>
                    </a:xfrm>
                    <a:prstGeom prst="rect">
                      <a:avLst/>
                    </a:prstGeom>
                  </pic:spPr>
                </pic:pic>
              </a:graphicData>
            </a:graphic>
            <wp14:sizeRelH relativeFrom="margin">
              <wp14:pctWidth>0</wp14:pctWidth>
            </wp14:sizeRelH>
            <wp14:sizeRelV relativeFrom="margin">
              <wp14:pctHeight>0</wp14:pctHeight>
            </wp14:sizeRelV>
          </wp:anchor>
        </w:drawing>
      </w:r>
      <w:r w:rsidRPr="00964855">
        <w:rPr>
          <w:rFonts w:eastAsia="Calibri" w:cs="Times New Roman (Corps CS)"/>
          <w:b/>
          <w:noProof/>
          <w:sz w:val="28"/>
          <w:szCs w:val="28"/>
          <w:lang w:eastAsia="en-US"/>
        </w:rPr>
        <w:drawing>
          <wp:anchor distT="0" distB="0" distL="114300" distR="114300" simplePos="0" relativeHeight="251661312" behindDoc="0" locked="0" layoutInCell="1" allowOverlap="1" wp14:anchorId="6994BF07" wp14:editId="0A7159A5">
            <wp:simplePos x="0" y="0"/>
            <wp:positionH relativeFrom="margin">
              <wp:align>center</wp:align>
            </wp:positionH>
            <wp:positionV relativeFrom="margin">
              <wp:align>top</wp:align>
            </wp:positionV>
            <wp:extent cx="2720498" cy="122400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20498" cy="1224000"/>
                    </a:xfrm>
                    <a:prstGeom prst="rect">
                      <a:avLst/>
                    </a:prstGeom>
                  </pic:spPr>
                </pic:pic>
              </a:graphicData>
            </a:graphic>
            <wp14:sizeRelH relativeFrom="margin">
              <wp14:pctWidth>0</wp14:pctWidth>
            </wp14:sizeRelH>
            <wp14:sizeRelV relativeFrom="margin">
              <wp14:pctHeight>0</wp14:pctHeight>
            </wp14:sizeRelV>
          </wp:anchor>
        </w:drawing>
      </w:r>
      <w:r w:rsidRPr="00964855">
        <w:rPr>
          <w:rFonts w:eastAsia="Calibri" w:cs="Times New Roman (Corps CS)"/>
          <w:b/>
          <w:noProof/>
          <w:sz w:val="28"/>
          <w:szCs w:val="28"/>
          <w:lang w:eastAsia="en-US"/>
        </w:rPr>
        <w:drawing>
          <wp:anchor distT="0" distB="0" distL="114300" distR="114300" simplePos="0" relativeHeight="251660288" behindDoc="0" locked="0" layoutInCell="1" allowOverlap="1" wp14:anchorId="3988CA36" wp14:editId="4FC24718">
            <wp:simplePos x="0" y="0"/>
            <wp:positionH relativeFrom="margin">
              <wp:align>right</wp:align>
            </wp:positionH>
            <wp:positionV relativeFrom="margin">
              <wp:align>top</wp:align>
            </wp:positionV>
            <wp:extent cx="754272" cy="108000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4272" cy="1080000"/>
                    </a:xfrm>
                    <a:prstGeom prst="rect">
                      <a:avLst/>
                    </a:prstGeom>
                  </pic:spPr>
                </pic:pic>
              </a:graphicData>
            </a:graphic>
            <wp14:sizeRelH relativeFrom="margin">
              <wp14:pctWidth>0</wp14:pctWidth>
            </wp14:sizeRelH>
            <wp14:sizeRelV relativeFrom="margin">
              <wp14:pctHeight>0</wp14:pctHeight>
            </wp14:sizeRelV>
          </wp:anchor>
        </w:drawing>
      </w:r>
    </w:p>
    <w:p w14:paraId="3166E7FE" w14:textId="77777777" w:rsidR="00964855" w:rsidRPr="00964855" w:rsidRDefault="00964855" w:rsidP="00964855">
      <w:pPr>
        <w:spacing w:before="0" w:after="0" w:line="360" w:lineRule="auto"/>
        <w:jc w:val="center"/>
        <w:rPr>
          <w:rFonts w:eastAsia="Calibri" w:cs="Times New Roman (Corps CS)"/>
          <w:b/>
          <w:sz w:val="28"/>
          <w:szCs w:val="28"/>
          <w:lang w:eastAsia="en-US"/>
        </w:rPr>
      </w:pPr>
    </w:p>
    <w:p w14:paraId="53DECBD2" w14:textId="77777777" w:rsidR="00964855" w:rsidRPr="00964855" w:rsidRDefault="00964855" w:rsidP="00964855">
      <w:pPr>
        <w:spacing w:before="0" w:after="0" w:line="360" w:lineRule="auto"/>
        <w:jc w:val="center"/>
        <w:rPr>
          <w:rFonts w:eastAsia="Calibri" w:cs="Times New Roman (Corps CS)"/>
          <w:b/>
          <w:sz w:val="28"/>
          <w:szCs w:val="28"/>
          <w:lang w:eastAsia="en-US"/>
        </w:rPr>
      </w:pPr>
    </w:p>
    <w:p w14:paraId="253E1B3F" w14:textId="77777777" w:rsidR="00964855" w:rsidRPr="00964855" w:rsidRDefault="00964855" w:rsidP="00964855">
      <w:pPr>
        <w:spacing w:before="0" w:after="0" w:line="360" w:lineRule="auto"/>
        <w:jc w:val="center"/>
        <w:rPr>
          <w:rFonts w:eastAsia="Calibri" w:cs="Times New Roman (Corps CS)"/>
          <w:b/>
          <w:sz w:val="28"/>
          <w:szCs w:val="28"/>
          <w:lang w:eastAsia="en-US"/>
        </w:rPr>
      </w:pPr>
    </w:p>
    <w:p w14:paraId="5AA7FF33" w14:textId="77777777" w:rsidR="00964855" w:rsidRPr="00964855" w:rsidRDefault="00964855" w:rsidP="00964855">
      <w:pPr>
        <w:spacing w:before="0" w:after="0"/>
        <w:jc w:val="center"/>
        <w:rPr>
          <w:rFonts w:eastAsia="Calibri" w:cs="Times New Roman (Corps CS)"/>
          <w:b/>
          <w:caps/>
          <w:sz w:val="26"/>
          <w:szCs w:val="26"/>
          <w:lang w:eastAsia="en-US"/>
        </w:rPr>
      </w:pPr>
      <w:r w:rsidRPr="00964855">
        <w:rPr>
          <w:rFonts w:eastAsia="Calibri" w:cs="Times New Roman (Corps CS)"/>
          <w:b/>
          <w:caps/>
          <w:sz w:val="26"/>
          <w:szCs w:val="26"/>
          <w:lang w:eastAsia="en-US"/>
        </w:rPr>
        <w:t xml:space="preserve">Institut de Droit des Affaires Internationales </w:t>
      </w:r>
    </w:p>
    <w:p w14:paraId="79F63405" w14:textId="0904ACA4" w:rsidR="00964855" w:rsidRPr="00964855" w:rsidRDefault="00964855" w:rsidP="00964855">
      <w:pPr>
        <w:spacing w:before="0" w:after="0"/>
        <w:jc w:val="center"/>
        <w:rPr>
          <w:rFonts w:eastAsia="Calibri" w:cs="Times New Roman (Corps CS)"/>
          <w:b/>
          <w:sz w:val="26"/>
          <w:szCs w:val="26"/>
          <w:lang w:eastAsia="en-US"/>
        </w:rPr>
      </w:pPr>
      <w:r w:rsidRPr="00964855">
        <w:rPr>
          <w:rFonts w:eastAsia="Calibri" w:cs="Times New Roman (Corps CS)"/>
          <w:b/>
          <w:sz w:val="26"/>
          <w:szCs w:val="26"/>
          <w:lang w:eastAsia="en-US"/>
        </w:rPr>
        <w:t>MASTER 1 202</w:t>
      </w:r>
      <w:r w:rsidR="00407CDD">
        <w:rPr>
          <w:rFonts w:eastAsia="Calibri" w:cs="Times New Roman (Corps CS)"/>
          <w:b/>
          <w:sz w:val="26"/>
          <w:szCs w:val="26"/>
          <w:lang w:eastAsia="en-US"/>
        </w:rPr>
        <w:t>3</w:t>
      </w:r>
      <w:r w:rsidRPr="00964855">
        <w:rPr>
          <w:rFonts w:eastAsia="Calibri" w:cs="Times New Roman (Corps CS)"/>
          <w:b/>
          <w:sz w:val="26"/>
          <w:szCs w:val="26"/>
          <w:lang w:eastAsia="en-US"/>
        </w:rPr>
        <w:t>-202</w:t>
      </w:r>
      <w:r w:rsidR="00407CDD">
        <w:rPr>
          <w:rFonts w:eastAsia="Calibri" w:cs="Times New Roman (Corps CS)"/>
          <w:b/>
          <w:sz w:val="26"/>
          <w:szCs w:val="26"/>
          <w:lang w:eastAsia="en-US"/>
        </w:rPr>
        <w:t>4</w:t>
      </w:r>
    </w:p>
    <w:p w14:paraId="7536A49D" w14:textId="77777777" w:rsidR="00964855" w:rsidRPr="00964855" w:rsidRDefault="00964855" w:rsidP="00964855">
      <w:pPr>
        <w:spacing w:before="240" w:after="0"/>
        <w:jc w:val="center"/>
        <w:rPr>
          <w:rFonts w:eastAsia="Calibri" w:cs="Times New Roman (Corps CS)"/>
          <w:i/>
          <w:iCs/>
          <w:sz w:val="26"/>
          <w:szCs w:val="26"/>
          <w:lang w:eastAsia="en-US"/>
        </w:rPr>
      </w:pPr>
      <w:r w:rsidRPr="00964855">
        <w:rPr>
          <w:rFonts w:eastAsia="Calibri" w:cs="Times New Roman (Corps CS)"/>
          <w:i/>
          <w:iCs/>
          <w:sz w:val="26"/>
          <w:szCs w:val="26"/>
          <w:lang w:eastAsia="en-US"/>
        </w:rPr>
        <w:t>TRAVAUX DIRIGÉS DE DROIT DES SÛRETÉS</w:t>
      </w:r>
    </w:p>
    <w:p w14:paraId="4C562487" w14:textId="77777777" w:rsidR="00964855" w:rsidRPr="00964855" w:rsidRDefault="00964855" w:rsidP="00964855">
      <w:pPr>
        <w:spacing w:after="0"/>
        <w:jc w:val="center"/>
        <w:rPr>
          <w:rFonts w:eastAsia="Calibri" w:cs="Times New Roman (Corps CS)"/>
          <w:b/>
          <w:sz w:val="26"/>
          <w:szCs w:val="26"/>
          <w:lang w:eastAsia="en-US"/>
        </w:rPr>
      </w:pPr>
      <w:r w:rsidRPr="00964855">
        <w:rPr>
          <w:rFonts w:eastAsia="Calibri" w:cs="Times New Roman (Corps CS)"/>
          <w:b/>
          <w:sz w:val="26"/>
          <w:szCs w:val="26"/>
          <w:lang w:eastAsia="en-US"/>
        </w:rPr>
        <w:t>M. R. AZEVEDO</w:t>
      </w:r>
    </w:p>
    <w:p w14:paraId="1FC434DF" w14:textId="77777777" w:rsidR="00964855" w:rsidRPr="00964855" w:rsidRDefault="00964855" w:rsidP="00964855">
      <w:pPr>
        <w:spacing w:before="0" w:after="240"/>
        <w:jc w:val="center"/>
        <w:rPr>
          <w:rFonts w:eastAsia="Calibri" w:cs="Times New Roman (Corps CS)"/>
          <w:b/>
          <w:sz w:val="26"/>
          <w:szCs w:val="26"/>
          <w:lang w:eastAsia="en-US"/>
        </w:rPr>
      </w:pPr>
      <w:r w:rsidRPr="00964855">
        <w:rPr>
          <w:rFonts w:eastAsia="Calibri" w:cs="Times New Roman (Corps CS)"/>
          <w:b/>
          <w:sz w:val="26"/>
          <w:szCs w:val="26"/>
          <w:lang w:eastAsia="en-US"/>
        </w:rPr>
        <w:t>Maître de conférences à l’Université de Montpellier</w:t>
      </w:r>
    </w:p>
    <w:p w14:paraId="452D2315" w14:textId="77777777" w:rsidR="00964855" w:rsidRPr="00964855" w:rsidRDefault="00964855" w:rsidP="00964855">
      <w:pPr>
        <w:spacing w:before="0" w:after="240"/>
        <w:jc w:val="center"/>
        <w:rPr>
          <w:rFonts w:eastAsia="Calibri" w:cs="Times New Roman (Corps CS)"/>
          <w:bCs/>
          <w:i/>
          <w:iCs/>
          <w:sz w:val="26"/>
          <w:szCs w:val="26"/>
          <w:lang w:eastAsia="en-US"/>
        </w:rPr>
      </w:pPr>
      <w:r w:rsidRPr="00964855">
        <w:rPr>
          <w:rFonts w:eastAsia="Calibri" w:cs="Times New Roman (Corps CS)"/>
          <w:bCs/>
          <w:i/>
          <w:iCs/>
          <w:sz w:val="26"/>
          <w:szCs w:val="26"/>
          <w:lang w:eastAsia="en-US"/>
        </w:rPr>
        <w:t>Chargé de travaux dirigés : Madame Alaa ABD EL HAFIZ</w:t>
      </w:r>
    </w:p>
    <w:p w14:paraId="6FA7AED3" w14:textId="5DE57951" w:rsidR="00964855" w:rsidRPr="00964855" w:rsidRDefault="00964855" w:rsidP="00964855">
      <w:pPr>
        <w:pBdr>
          <w:bottom w:val="single" w:sz="4" w:space="1" w:color="auto"/>
        </w:pBdr>
        <w:spacing w:before="0" w:after="0" w:line="276" w:lineRule="auto"/>
        <w:jc w:val="center"/>
        <w:rPr>
          <w:rFonts w:eastAsia="Calibri" w:cs="Times New Roman (Corps CS)"/>
          <w:b/>
          <w:sz w:val="26"/>
          <w:szCs w:val="26"/>
          <w:lang w:eastAsia="en-US"/>
        </w:rPr>
      </w:pPr>
      <w:r w:rsidRPr="00964855">
        <w:rPr>
          <w:rFonts w:eastAsia="Calibri" w:cs="Times New Roman (Corps CS)"/>
          <w:b/>
          <w:sz w:val="26"/>
          <w:szCs w:val="26"/>
          <w:lang w:eastAsia="en-US"/>
        </w:rPr>
        <w:t>Séance </w:t>
      </w:r>
      <w:r>
        <w:rPr>
          <w:rFonts w:eastAsia="Calibri" w:cs="Times New Roman (Corps CS)"/>
          <w:b/>
          <w:sz w:val="26"/>
          <w:szCs w:val="26"/>
          <w:lang w:eastAsia="en-US"/>
        </w:rPr>
        <w:t>3</w:t>
      </w:r>
      <w:r w:rsidRPr="00964855">
        <w:rPr>
          <w:rFonts w:eastAsia="Calibri" w:cs="Times New Roman (Corps CS)"/>
          <w:b/>
          <w:sz w:val="26"/>
          <w:szCs w:val="26"/>
          <w:lang w:eastAsia="en-US"/>
        </w:rPr>
        <w:t>. L</w:t>
      </w:r>
      <w:r>
        <w:rPr>
          <w:rFonts w:eastAsia="Calibri" w:cs="Times New Roman (Corps CS)"/>
          <w:b/>
          <w:sz w:val="26"/>
          <w:szCs w:val="26"/>
          <w:lang w:eastAsia="en-US"/>
        </w:rPr>
        <w:t xml:space="preserve">’exécution du </w:t>
      </w:r>
      <w:r w:rsidRPr="00964855">
        <w:rPr>
          <w:rFonts w:eastAsia="Calibri" w:cs="Times New Roman (Corps CS)"/>
          <w:b/>
          <w:sz w:val="26"/>
          <w:szCs w:val="26"/>
          <w:lang w:eastAsia="en-US"/>
        </w:rPr>
        <w:t>contrat de cautionnement</w:t>
      </w:r>
    </w:p>
    <w:p w14:paraId="4A9987AB" w14:textId="77777777" w:rsidR="00964855" w:rsidRPr="00425B36" w:rsidRDefault="00964855" w:rsidP="003A4CCD">
      <w:pPr>
        <w:spacing w:before="360" w:line="276" w:lineRule="auto"/>
        <w:rPr>
          <w:rFonts w:eastAsia="Calibri" w:cs="Times New Roman"/>
          <w:b/>
          <w:bCs/>
          <w:i/>
          <w:iCs/>
          <w:sz w:val="22"/>
          <w:szCs w:val="22"/>
          <w:lang w:eastAsia="en-US"/>
        </w:rPr>
      </w:pPr>
      <w:r w:rsidRPr="00425B36">
        <w:rPr>
          <w:rFonts w:eastAsia="Calibri" w:cs="Times New Roman"/>
          <w:b/>
          <w:bCs/>
          <w:i/>
          <w:iCs/>
          <w:sz w:val="22"/>
          <w:szCs w:val="22"/>
          <w:lang w:eastAsia="en-US"/>
        </w:rPr>
        <w:t>Résoudre les cas pratiques suivants</w:t>
      </w:r>
    </w:p>
    <w:p w14:paraId="69479FD3" w14:textId="3CF5B1ED" w:rsidR="00964855" w:rsidRPr="00425B36" w:rsidRDefault="00964855" w:rsidP="00FB43EE">
      <w:pPr>
        <w:spacing w:before="240" w:line="276" w:lineRule="auto"/>
        <w:rPr>
          <w:rFonts w:eastAsia="Calibri" w:cs="Times New Roman"/>
          <w:b/>
          <w:bCs/>
          <w:i/>
          <w:iCs/>
          <w:sz w:val="22"/>
          <w:szCs w:val="22"/>
          <w:lang w:eastAsia="en-US"/>
        </w:rPr>
      </w:pPr>
      <w:r w:rsidRPr="00425B36">
        <w:rPr>
          <w:rFonts w:eastAsia="Calibri" w:cs="Times New Roman"/>
          <w:b/>
          <w:bCs/>
          <w:i/>
          <w:iCs/>
          <w:sz w:val="22"/>
          <w:szCs w:val="22"/>
          <w:lang w:eastAsia="en-US"/>
        </w:rPr>
        <w:t>CAS PRATIQUE N° 1</w:t>
      </w:r>
    </w:p>
    <w:p w14:paraId="6BAD8FF2" w14:textId="61A7D385" w:rsidR="00E2258A" w:rsidRPr="00425B36" w:rsidRDefault="002377CE" w:rsidP="00FB43EE">
      <w:pPr>
        <w:spacing w:line="276" w:lineRule="auto"/>
        <w:rPr>
          <w:rFonts w:cs="Times New Roman"/>
          <w:sz w:val="22"/>
          <w:szCs w:val="22"/>
        </w:rPr>
      </w:pPr>
      <w:r w:rsidRPr="00425B36">
        <w:rPr>
          <w:rFonts w:cs="Times New Roman"/>
          <w:sz w:val="22"/>
          <w:szCs w:val="22"/>
        </w:rPr>
        <w:t>Le 4</w:t>
      </w:r>
      <w:r w:rsidR="001D29B1" w:rsidRPr="00425B36">
        <w:rPr>
          <w:rFonts w:cs="Times New Roman"/>
          <w:sz w:val="22"/>
          <w:szCs w:val="22"/>
        </w:rPr>
        <w:t> </w:t>
      </w:r>
      <w:r w:rsidRPr="00425B36">
        <w:rPr>
          <w:rFonts w:cs="Times New Roman"/>
          <w:sz w:val="22"/>
          <w:szCs w:val="22"/>
        </w:rPr>
        <w:t>septembre 20</w:t>
      </w:r>
      <w:r w:rsidR="00425B36" w:rsidRPr="00425B36">
        <w:rPr>
          <w:rFonts w:cs="Times New Roman"/>
          <w:sz w:val="22"/>
          <w:szCs w:val="22"/>
        </w:rPr>
        <w:t>18</w:t>
      </w:r>
      <w:r w:rsidRPr="00425B36">
        <w:rPr>
          <w:rFonts w:cs="Times New Roman"/>
          <w:sz w:val="22"/>
          <w:szCs w:val="22"/>
        </w:rPr>
        <w:t>, deux frères, Nicolas et Clément, ont accepté de s’engager pour garantir les dettes contractées par leur sœur Audrey. Les deux cautions se sont engagées à garantir solidairement le recouvrement d’un prêt de 18</w:t>
      </w:r>
      <w:r w:rsidR="001D29B1" w:rsidRPr="00425B36">
        <w:rPr>
          <w:rFonts w:cs="Times New Roman"/>
          <w:sz w:val="22"/>
          <w:szCs w:val="22"/>
        </w:rPr>
        <w:t> 000 </w:t>
      </w:r>
      <w:r w:rsidRPr="00425B36">
        <w:rPr>
          <w:rFonts w:cs="Times New Roman"/>
          <w:sz w:val="22"/>
          <w:szCs w:val="22"/>
        </w:rPr>
        <w:t>euros</w:t>
      </w:r>
      <w:r w:rsidR="00B53489">
        <w:rPr>
          <w:rFonts w:cs="Times New Roman"/>
          <w:sz w:val="22"/>
          <w:szCs w:val="22"/>
        </w:rPr>
        <w:t xml:space="preserve"> (elles se sont engagées solidairement entre elles ainsi que solidairement avec le débiteur)</w:t>
      </w:r>
      <w:r w:rsidRPr="00425B36">
        <w:rPr>
          <w:rFonts w:cs="Times New Roman"/>
          <w:sz w:val="22"/>
          <w:szCs w:val="22"/>
        </w:rPr>
        <w:t xml:space="preserve">, convenu entre la Banque Nationale du Crédit et Audrey. Ce prêt avait permis à cette dernière </w:t>
      </w:r>
      <w:r w:rsidR="00425B36" w:rsidRPr="00425B36">
        <w:rPr>
          <w:rFonts w:cs="Times New Roman"/>
          <w:sz w:val="22"/>
          <w:szCs w:val="22"/>
        </w:rPr>
        <w:t>de meubler</w:t>
      </w:r>
      <w:r w:rsidRPr="00425B36">
        <w:rPr>
          <w:rFonts w:cs="Times New Roman"/>
          <w:sz w:val="22"/>
          <w:szCs w:val="22"/>
        </w:rPr>
        <w:t xml:space="preserve"> son appartement lors de son installation à Montpellier à l’occasion de la rentrée universitaire</w:t>
      </w:r>
      <w:r w:rsidR="001D29B1" w:rsidRPr="00425B36">
        <w:rPr>
          <w:rFonts w:cs="Times New Roman"/>
          <w:sz w:val="22"/>
          <w:szCs w:val="22"/>
        </w:rPr>
        <w:t> </w:t>
      </w:r>
      <w:r w:rsidRPr="00425B36">
        <w:rPr>
          <w:rFonts w:cs="Times New Roman"/>
          <w:sz w:val="22"/>
          <w:szCs w:val="22"/>
        </w:rPr>
        <w:t>20</w:t>
      </w:r>
      <w:r w:rsidR="00425B36" w:rsidRPr="00425B36">
        <w:rPr>
          <w:rFonts w:cs="Times New Roman"/>
          <w:sz w:val="22"/>
          <w:szCs w:val="22"/>
        </w:rPr>
        <w:t>18</w:t>
      </w:r>
      <w:r w:rsidRPr="00425B36">
        <w:rPr>
          <w:rFonts w:cs="Times New Roman"/>
          <w:sz w:val="22"/>
          <w:szCs w:val="22"/>
        </w:rPr>
        <w:t>-20</w:t>
      </w:r>
      <w:r w:rsidR="00425B36" w:rsidRPr="00425B36">
        <w:rPr>
          <w:rFonts w:cs="Times New Roman"/>
          <w:sz w:val="22"/>
          <w:szCs w:val="22"/>
        </w:rPr>
        <w:t>19.</w:t>
      </w:r>
      <w:r w:rsidRPr="00425B36">
        <w:rPr>
          <w:rFonts w:cs="Times New Roman"/>
          <w:sz w:val="22"/>
          <w:szCs w:val="22"/>
        </w:rPr>
        <w:t xml:space="preserve"> </w:t>
      </w:r>
    </w:p>
    <w:p w14:paraId="4D1E14F6" w14:textId="15B619FD" w:rsidR="002377CE" w:rsidRPr="00425B36" w:rsidRDefault="002377CE" w:rsidP="00FB43EE">
      <w:pPr>
        <w:spacing w:line="276" w:lineRule="auto"/>
        <w:rPr>
          <w:rFonts w:cs="Times New Roman"/>
          <w:sz w:val="22"/>
          <w:szCs w:val="22"/>
        </w:rPr>
      </w:pPr>
      <w:r w:rsidRPr="00425B36">
        <w:rPr>
          <w:rFonts w:cs="Times New Roman"/>
          <w:sz w:val="22"/>
          <w:szCs w:val="22"/>
        </w:rPr>
        <w:t>Or, depuis le mois d’avril 2</w:t>
      </w:r>
      <w:r w:rsidR="00425B36" w:rsidRPr="00425B36">
        <w:rPr>
          <w:rFonts w:cs="Times New Roman"/>
          <w:sz w:val="22"/>
          <w:szCs w:val="22"/>
        </w:rPr>
        <w:t>021</w:t>
      </w:r>
      <w:r w:rsidRPr="00425B36">
        <w:rPr>
          <w:rFonts w:cs="Times New Roman"/>
          <w:sz w:val="22"/>
          <w:szCs w:val="22"/>
        </w:rPr>
        <w:t xml:space="preserve">, Audrey </w:t>
      </w:r>
      <w:r w:rsidR="00425B36" w:rsidRPr="00425B36">
        <w:rPr>
          <w:rFonts w:cs="Times New Roman"/>
          <w:sz w:val="22"/>
          <w:szCs w:val="22"/>
        </w:rPr>
        <w:t>ne</w:t>
      </w:r>
      <w:r w:rsidRPr="00425B36">
        <w:rPr>
          <w:rFonts w:cs="Times New Roman"/>
          <w:sz w:val="22"/>
          <w:szCs w:val="22"/>
        </w:rPr>
        <w:t xml:space="preserve"> respect</w:t>
      </w:r>
      <w:r w:rsidR="00425B36" w:rsidRPr="00425B36">
        <w:rPr>
          <w:rFonts w:cs="Times New Roman"/>
          <w:sz w:val="22"/>
          <w:szCs w:val="22"/>
        </w:rPr>
        <w:t>e</w:t>
      </w:r>
      <w:r w:rsidRPr="00425B36">
        <w:rPr>
          <w:rFonts w:cs="Times New Roman"/>
          <w:sz w:val="22"/>
          <w:szCs w:val="22"/>
        </w:rPr>
        <w:t xml:space="preserve"> </w:t>
      </w:r>
      <w:r w:rsidR="00425B36" w:rsidRPr="00425B36">
        <w:rPr>
          <w:rFonts w:cs="Times New Roman"/>
          <w:sz w:val="22"/>
          <w:szCs w:val="22"/>
        </w:rPr>
        <w:t xml:space="preserve">pas </w:t>
      </w:r>
      <w:r w:rsidRPr="00425B36">
        <w:rPr>
          <w:rFonts w:cs="Times New Roman"/>
          <w:sz w:val="22"/>
          <w:szCs w:val="22"/>
        </w:rPr>
        <w:t>son engagement</w:t>
      </w:r>
      <w:r w:rsidR="00425B36" w:rsidRPr="00425B36">
        <w:rPr>
          <w:rFonts w:cs="Times New Roman"/>
          <w:sz w:val="22"/>
          <w:szCs w:val="22"/>
        </w:rPr>
        <w:t xml:space="preserve"> à l’égard de la banque. Celle-ci</w:t>
      </w:r>
      <w:r w:rsidRPr="00425B36">
        <w:rPr>
          <w:rFonts w:cs="Times New Roman"/>
          <w:sz w:val="22"/>
          <w:szCs w:val="22"/>
        </w:rPr>
        <w:t xml:space="preserve"> a </w:t>
      </w:r>
      <w:r w:rsidR="00425B36" w:rsidRPr="00425B36">
        <w:rPr>
          <w:rFonts w:cs="Times New Roman"/>
          <w:sz w:val="22"/>
          <w:szCs w:val="22"/>
        </w:rPr>
        <w:t xml:space="preserve">alors </w:t>
      </w:r>
      <w:r w:rsidRPr="00425B36">
        <w:rPr>
          <w:rFonts w:cs="Times New Roman"/>
          <w:sz w:val="22"/>
          <w:szCs w:val="22"/>
        </w:rPr>
        <w:t>décidé, la semaine dernière, de contacter Nicolas afin qu’il accepte de payer au plus vite la totalité de la dette. Nicolas s’interroge</w:t>
      </w:r>
      <w:r w:rsidR="001D29B1" w:rsidRPr="00425B36">
        <w:rPr>
          <w:rFonts w:cs="Times New Roman"/>
          <w:sz w:val="22"/>
          <w:szCs w:val="22"/>
        </w:rPr>
        <w:t>,</w:t>
      </w:r>
      <w:r w:rsidRPr="00425B36">
        <w:rPr>
          <w:rFonts w:cs="Times New Roman"/>
          <w:sz w:val="22"/>
          <w:szCs w:val="22"/>
        </w:rPr>
        <w:t xml:space="preserve"> car sa sœur compte saisir la Commission de surendettement afin d’obtenir une remise de dette de son créancier.</w:t>
      </w:r>
    </w:p>
    <w:p w14:paraId="16170C71" w14:textId="51980A1E" w:rsidR="002377CE" w:rsidRPr="00425B36" w:rsidRDefault="002377CE" w:rsidP="00FB43EE">
      <w:pPr>
        <w:spacing w:line="276" w:lineRule="auto"/>
        <w:rPr>
          <w:rFonts w:cs="Times New Roman"/>
          <w:b/>
          <w:bCs/>
          <w:i/>
          <w:iCs/>
          <w:sz w:val="22"/>
          <w:szCs w:val="22"/>
        </w:rPr>
      </w:pPr>
      <w:r w:rsidRPr="00425B36">
        <w:rPr>
          <w:rFonts w:cs="Times New Roman"/>
          <w:b/>
          <w:bCs/>
          <w:i/>
          <w:iCs/>
          <w:sz w:val="22"/>
          <w:szCs w:val="22"/>
        </w:rPr>
        <w:t xml:space="preserve">Quelles conséquences </w:t>
      </w:r>
      <w:r w:rsidR="006026CF" w:rsidRPr="00425B36">
        <w:rPr>
          <w:rFonts w:cs="Times New Roman"/>
          <w:b/>
          <w:bCs/>
          <w:i/>
          <w:iCs/>
          <w:sz w:val="22"/>
          <w:szCs w:val="22"/>
        </w:rPr>
        <w:t>la</w:t>
      </w:r>
      <w:r w:rsidRPr="00425B36">
        <w:rPr>
          <w:rFonts w:cs="Times New Roman"/>
          <w:b/>
          <w:bCs/>
          <w:i/>
          <w:iCs/>
          <w:sz w:val="22"/>
          <w:szCs w:val="22"/>
        </w:rPr>
        <w:t xml:space="preserve"> remise de dette aurait-elle pour Nicolas</w:t>
      </w:r>
      <w:r w:rsidR="00F74C5F">
        <w:rPr>
          <w:rFonts w:cs="Times New Roman"/>
          <w:b/>
          <w:bCs/>
          <w:i/>
          <w:iCs/>
          <w:sz w:val="22"/>
          <w:szCs w:val="22"/>
        </w:rPr>
        <w:t> </w:t>
      </w:r>
      <w:r w:rsidRPr="00425B36">
        <w:rPr>
          <w:rFonts w:cs="Times New Roman"/>
          <w:b/>
          <w:bCs/>
          <w:i/>
          <w:iCs/>
          <w:sz w:val="22"/>
          <w:szCs w:val="22"/>
        </w:rPr>
        <w:t>?</w:t>
      </w:r>
    </w:p>
    <w:p w14:paraId="0D45142F" w14:textId="5B6E280E" w:rsidR="002377CE" w:rsidRPr="00425B36" w:rsidRDefault="002377CE" w:rsidP="00FB43EE">
      <w:pPr>
        <w:spacing w:line="276" w:lineRule="auto"/>
        <w:rPr>
          <w:rFonts w:cs="Times New Roman"/>
          <w:b/>
          <w:bCs/>
          <w:i/>
          <w:iCs/>
          <w:sz w:val="22"/>
          <w:szCs w:val="22"/>
        </w:rPr>
      </w:pPr>
      <w:r w:rsidRPr="00425B36">
        <w:rPr>
          <w:rFonts w:cs="Times New Roman"/>
          <w:b/>
          <w:bCs/>
          <w:i/>
          <w:iCs/>
          <w:sz w:val="22"/>
          <w:szCs w:val="22"/>
        </w:rPr>
        <w:t>De quels moyens d’action disposerait Nicolas s’il devait payer le prêt d’Audrey</w:t>
      </w:r>
      <w:r w:rsidR="00F74C5F">
        <w:rPr>
          <w:rFonts w:cs="Times New Roman"/>
          <w:b/>
          <w:bCs/>
          <w:i/>
          <w:iCs/>
          <w:sz w:val="22"/>
          <w:szCs w:val="22"/>
        </w:rPr>
        <w:t> </w:t>
      </w:r>
      <w:r w:rsidRPr="00425B36">
        <w:rPr>
          <w:rFonts w:cs="Times New Roman"/>
          <w:b/>
          <w:bCs/>
          <w:i/>
          <w:iCs/>
          <w:sz w:val="22"/>
          <w:szCs w:val="22"/>
        </w:rPr>
        <w:t>? Nicolas peut-il reprocher à la banque un manquement à ses obligations</w:t>
      </w:r>
      <w:r w:rsidR="00F74C5F">
        <w:rPr>
          <w:rFonts w:cs="Times New Roman"/>
          <w:b/>
          <w:bCs/>
          <w:i/>
          <w:iCs/>
          <w:sz w:val="22"/>
          <w:szCs w:val="22"/>
        </w:rPr>
        <w:t> </w:t>
      </w:r>
      <w:r w:rsidRPr="00425B36">
        <w:rPr>
          <w:rFonts w:cs="Times New Roman"/>
          <w:b/>
          <w:bCs/>
          <w:i/>
          <w:iCs/>
          <w:sz w:val="22"/>
          <w:szCs w:val="22"/>
        </w:rPr>
        <w:t>?</w:t>
      </w:r>
    </w:p>
    <w:p w14:paraId="1EBED395" w14:textId="1C5FC389" w:rsidR="00F729CD" w:rsidRPr="00425B36" w:rsidRDefault="00F729CD" w:rsidP="00FB43EE">
      <w:pPr>
        <w:spacing w:before="360" w:line="276" w:lineRule="auto"/>
        <w:rPr>
          <w:rFonts w:eastAsia="Calibri" w:cs="Times New Roman"/>
          <w:b/>
          <w:bCs/>
          <w:i/>
          <w:iCs/>
          <w:sz w:val="22"/>
          <w:szCs w:val="22"/>
          <w:lang w:eastAsia="en-US"/>
        </w:rPr>
      </w:pPr>
      <w:r w:rsidRPr="00425B36">
        <w:rPr>
          <w:rFonts w:eastAsia="Calibri" w:cs="Times New Roman"/>
          <w:b/>
          <w:bCs/>
          <w:i/>
          <w:iCs/>
          <w:sz w:val="22"/>
          <w:szCs w:val="22"/>
          <w:lang w:eastAsia="en-US"/>
        </w:rPr>
        <w:t>CAS PRATIQUE N° 2</w:t>
      </w:r>
    </w:p>
    <w:p w14:paraId="4A08CE31" w14:textId="46C3C0C7" w:rsidR="00072451" w:rsidRPr="00425B36" w:rsidRDefault="002377CE" w:rsidP="00FB43EE">
      <w:pPr>
        <w:spacing w:line="276" w:lineRule="auto"/>
        <w:rPr>
          <w:rFonts w:cs="Times New Roman"/>
          <w:sz w:val="22"/>
          <w:szCs w:val="22"/>
        </w:rPr>
      </w:pPr>
      <w:r w:rsidRPr="00425B36">
        <w:rPr>
          <w:rFonts w:cs="Times New Roman"/>
          <w:sz w:val="22"/>
          <w:szCs w:val="22"/>
        </w:rPr>
        <w:t>Le 24</w:t>
      </w:r>
      <w:r w:rsidR="001D29B1" w:rsidRPr="00425B36">
        <w:rPr>
          <w:rFonts w:cs="Times New Roman"/>
          <w:sz w:val="22"/>
          <w:szCs w:val="22"/>
        </w:rPr>
        <w:t> </w:t>
      </w:r>
      <w:r w:rsidRPr="00425B36">
        <w:rPr>
          <w:rFonts w:cs="Times New Roman"/>
          <w:sz w:val="22"/>
          <w:szCs w:val="22"/>
        </w:rPr>
        <w:t>septembre 2016, M.</w:t>
      </w:r>
      <w:r w:rsidR="001D29B1" w:rsidRPr="00425B36">
        <w:rPr>
          <w:rFonts w:cs="Times New Roman"/>
          <w:sz w:val="22"/>
          <w:szCs w:val="22"/>
        </w:rPr>
        <w:t> </w:t>
      </w:r>
      <w:r w:rsidRPr="00425B36">
        <w:rPr>
          <w:rFonts w:cs="Times New Roman"/>
          <w:sz w:val="22"/>
          <w:szCs w:val="22"/>
        </w:rPr>
        <w:t xml:space="preserve">Lucas </w:t>
      </w:r>
      <w:proofErr w:type="spellStart"/>
      <w:r w:rsidRPr="00425B36">
        <w:rPr>
          <w:rFonts w:cs="Times New Roman"/>
          <w:sz w:val="22"/>
          <w:szCs w:val="22"/>
        </w:rPr>
        <w:t>Rantène</w:t>
      </w:r>
      <w:proofErr w:type="spellEnd"/>
      <w:r w:rsidRPr="00425B36">
        <w:rPr>
          <w:rFonts w:cs="Times New Roman"/>
          <w:sz w:val="22"/>
          <w:szCs w:val="22"/>
        </w:rPr>
        <w:t xml:space="preserve">, président de la SA </w:t>
      </w:r>
      <w:proofErr w:type="spellStart"/>
      <w:r w:rsidRPr="00425B36">
        <w:rPr>
          <w:rFonts w:cs="Times New Roman"/>
          <w:sz w:val="22"/>
          <w:szCs w:val="22"/>
        </w:rPr>
        <w:t>Vacc</w:t>
      </w:r>
      <w:proofErr w:type="spellEnd"/>
      <w:r w:rsidRPr="00425B36">
        <w:rPr>
          <w:rFonts w:cs="Times New Roman"/>
          <w:sz w:val="22"/>
          <w:szCs w:val="22"/>
        </w:rPr>
        <w:t xml:space="preserve">’ Invest ayant pour objet la fabrication de masques, elle-même associée de la SA </w:t>
      </w:r>
      <w:proofErr w:type="spellStart"/>
      <w:r w:rsidRPr="00425B36">
        <w:rPr>
          <w:rFonts w:cs="Times New Roman"/>
          <w:sz w:val="22"/>
          <w:szCs w:val="22"/>
        </w:rPr>
        <w:t>Zoume</w:t>
      </w:r>
      <w:proofErr w:type="spellEnd"/>
      <w:r w:rsidRPr="00425B36">
        <w:rPr>
          <w:rFonts w:cs="Times New Roman"/>
          <w:sz w:val="22"/>
          <w:szCs w:val="22"/>
        </w:rPr>
        <w:t xml:space="preserve">, a conclu un acte de cautionnement au profit de la </w:t>
      </w:r>
      <w:r w:rsidR="001D29B1" w:rsidRPr="00425B36">
        <w:rPr>
          <w:rFonts w:cs="Times New Roman"/>
          <w:sz w:val="22"/>
          <w:szCs w:val="22"/>
        </w:rPr>
        <w:t>B</w:t>
      </w:r>
      <w:r w:rsidRPr="00425B36">
        <w:rPr>
          <w:rFonts w:cs="Times New Roman"/>
          <w:sz w:val="22"/>
          <w:szCs w:val="22"/>
        </w:rPr>
        <w:t>anque populaire du Sud en garantie d’une ouverture de crédit en compte courant d’un montant de 700</w:t>
      </w:r>
      <w:r w:rsidR="001D29B1" w:rsidRPr="00425B36">
        <w:rPr>
          <w:rFonts w:cs="Times New Roman"/>
          <w:sz w:val="22"/>
          <w:szCs w:val="22"/>
        </w:rPr>
        <w:t> 000 </w:t>
      </w:r>
      <w:r w:rsidRPr="00425B36">
        <w:rPr>
          <w:rFonts w:cs="Times New Roman"/>
          <w:sz w:val="22"/>
          <w:szCs w:val="22"/>
        </w:rPr>
        <w:t xml:space="preserve">euros accordée à la SA </w:t>
      </w:r>
      <w:proofErr w:type="spellStart"/>
      <w:r w:rsidRPr="00425B36">
        <w:rPr>
          <w:rFonts w:cs="Times New Roman"/>
          <w:sz w:val="22"/>
          <w:szCs w:val="22"/>
        </w:rPr>
        <w:t>Zoume</w:t>
      </w:r>
      <w:proofErr w:type="spellEnd"/>
      <w:r w:rsidRPr="00425B36">
        <w:rPr>
          <w:rFonts w:cs="Times New Roman"/>
          <w:sz w:val="22"/>
          <w:szCs w:val="22"/>
        </w:rPr>
        <w:t xml:space="preserve">. </w:t>
      </w:r>
    </w:p>
    <w:p w14:paraId="70038D8D" w14:textId="4EDB1B32" w:rsidR="002377CE" w:rsidRPr="00425B36" w:rsidRDefault="002377CE" w:rsidP="00FB43EE">
      <w:pPr>
        <w:spacing w:line="276" w:lineRule="auto"/>
        <w:rPr>
          <w:rFonts w:cs="Times New Roman"/>
          <w:sz w:val="22"/>
          <w:szCs w:val="22"/>
        </w:rPr>
      </w:pPr>
      <w:r w:rsidRPr="00425B36">
        <w:rPr>
          <w:rFonts w:cs="Times New Roman"/>
          <w:sz w:val="22"/>
          <w:szCs w:val="22"/>
        </w:rPr>
        <w:t>Au départ prévu sur une période de deux ans, le remboursement du crédit initialement prévu pour le 10</w:t>
      </w:r>
      <w:r w:rsidR="001D29B1" w:rsidRPr="00425B36">
        <w:rPr>
          <w:rFonts w:cs="Times New Roman"/>
          <w:sz w:val="22"/>
          <w:szCs w:val="22"/>
        </w:rPr>
        <w:t> </w:t>
      </w:r>
      <w:r w:rsidRPr="00425B36">
        <w:rPr>
          <w:rFonts w:cs="Times New Roman"/>
          <w:sz w:val="22"/>
          <w:szCs w:val="22"/>
        </w:rPr>
        <w:t>juin 2016 devait par la suite être prorogé jusqu’au 30</w:t>
      </w:r>
      <w:r w:rsidR="001D29B1" w:rsidRPr="00425B36">
        <w:rPr>
          <w:rFonts w:cs="Times New Roman"/>
          <w:sz w:val="22"/>
          <w:szCs w:val="22"/>
        </w:rPr>
        <w:t> </w:t>
      </w:r>
      <w:r w:rsidRPr="00425B36">
        <w:rPr>
          <w:rFonts w:cs="Times New Roman"/>
          <w:sz w:val="22"/>
          <w:szCs w:val="22"/>
        </w:rPr>
        <w:t>juin 2018. En contrepartie de cette prorogation, la banque qui avait initialement exigé des sûretés réelles, à savoir le privilège du prêteur de deniers à hauteur de 600</w:t>
      </w:r>
      <w:r w:rsidR="001D29B1" w:rsidRPr="00425B36">
        <w:rPr>
          <w:rFonts w:cs="Times New Roman"/>
          <w:sz w:val="22"/>
          <w:szCs w:val="22"/>
        </w:rPr>
        <w:t> 000 </w:t>
      </w:r>
      <w:r w:rsidRPr="00425B36">
        <w:rPr>
          <w:rFonts w:cs="Times New Roman"/>
          <w:sz w:val="22"/>
          <w:szCs w:val="22"/>
        </w:rPr>
        <w:t>euros ainsi qu’une hypothèque à hauteur de 100</w:t>
      </w:r>
      <w:r w:rsidR="001D29B1" w:rsidRPr="00425B36">
        <w:rPr>
          <w:rFonts w:cs="Times New Roman"/>
          <w:sz w:val="22"/>
          <w:szCs w:val="22"/>
        </w:rPr>
        <w:t> 000 </w:t>
      </w:r>
      <w:r w:rsidRPr="00425B36">
        <w:rPr>
          <w:rFonts w:cs="Times New Roman"/>
          <w:sz w:val="22"/>
          <w:szCs w:val="22"/>
        </w:rPr>
        <w:t>euros, devait solliciter</w:t>
      </w:r>
      <w:r w:rsidR="00B871AB" w:rsidRPr="00425B36">
        <w:rPr>
          <w:rFonts w:cs="Times New Roman"/>
          <w:sz w:val="22"/>
          <w:szCs w:val="22"/>
        </w:rPr>
        <w:t xml:space="preserve"> </w:t>
      </w:r>
      <w:r w:rsidRPr="00425B36">
        <w:rPr>
          <w:rFonts w:cs="Times New Roman"/>
          <w:sz w:val="22"/>
          <w:szCs w:val="22"/>
        </w:rPr>
        <w:t xml:space="preserve">les cautionnements solidaires de Monsieur </w:t>
      </w:r>
      <w:proofErr w:type="spellStart"/>
      <w:r w:rsidRPr="00425B36">
        <w:rPr>
          <w:rFonts w:cs="Times New Roman"/>
          <w:sz w:val="22"/>
          <w:szCs w:val="22"/>
        </w:rPr>
        <w:t>Rantène</w:t>
      </w:r>
      <w:proofErr w:type="spellEnd"/>
      <w:r w:rsidRPr="00425B36">
        <w:rPr>
          <w:rFonts w:cs="Times New Roman"/>
          <w:sz w:val="22"/>
          <w:szCs w:val="22"/>
        </w:rPr>
        <w:t xml:space="preserve"> à hauteur de 364</w:t>
      </w:r>
      <w:r w:rsidR="001D29B1" w:rsidRPr="00425B36">
        <w:rPr>
          <w:rFonts w:cs="Times New Roman"/>
          <w:sz w:val="22"/>
          <w:szCs w:val="22"/>
        </w:rPr>
        <w:t> 000 </w:t>
      </w:r>
      <w:r w:rsidRPr="00425B36">
        <w:rPr>
          <w:rFonts w:cs="Times New Roman"/>
          <w:sz w:val="22"/>
          <w:szCs w:val="22"/>
        </w:rPr>
        <w:t xml:space="preserve">euros, ainsi que de </w:t>
      </w:r>
      <w:r w:rsidRPr="00425B36">
        <w:rPr>
          <w:rFonts w:cs="Times New Roman"/>
          <w:sz w:val="22"/>
          <w:szCs w:val="22"/>
        </w:rPr>
        <w:lastRenderedPageBreak/>
        <w:t xml:space="preserve">ses deux autres associés au sein de la SA </w:t>
      </w:r>
      <w:proofErr w:type="spellStart"/>
      <w:r w:rsidRPr="00425B36">
        <w:rPr>
          <w:rFonts w:cs="Times New Roman"/>
          <w:sz w:val="22"/>
          <w:szCs w:val="22"/>
        </w:rPr>
        <w:t>Vacc’Invest</w:t>
      </w:r>
      <w:proofErr w:type="spellEnd"/>
      <w:r w:rsidRPr="00425B36">
        <w:rPr>
          <w:rFonts w:cs="Times New Roman"/>
          <w:sz w:val="22"/>
          <w:szCs w:val="22"/>
        </w:rPr>
        <w:t xml:space="preserve">, Monsieur </w:t>
      </w:r>
      <w:proofErr w:type="spellStart"/>
      <w:r w:rsidRPr="00425B36">
        <w:rPr>
          <w:rFonts w:cs="Times New Roman"/>
          <w:sz w:val="22"/>
          <w:szCs w:val="22"/>
        </w:rPr>
        <w:t>Rahoulle</w:t>
      </w:r>
      <w:proofErr w:type="spellEnd"/>
      <w:r w:rsidRPr="00425B36">
        <w:rPr>
          <w:rFonts w:cs="Times New Roman"/>
          <w:sz w:val="22"/>
          <w:szCs w:val="22"/>
        </w:rPr>
        <w:t>, à hauteur de 364</w:t>
      </w:r>
      <w:r w:rsidR="001D29B1" w:rsidRPr="00425B36">
        <w:rPr>
          <w:rFonts w:cs="Times New Roman"/>
          <w:sz w:val="22"/>
          <w:szCs w:val="22"/>
        </w:rPr>
        <w:t> 000 </w:t>
      </w:r>
      <w:r w:rsidRPr="00425B36">
        <w:rPr>
          <w:rFonts w:cs="Times New Roman"/>
          <w:sz w:val="22"/>
          <w:szCs w:val="22"/>
        </w:rPr>
        <w:t>euros et Monsieur Véron à hauteur de 182</w:t>
      </w:r>
      <w:r w:rsidR="001D29B1" w:rsidRPr="00425B36">
        <w:rPr>
          <w:rFonts w:cs="Times New Roman"/>
          <w:sz w:val="22"/>
          <w:szCs w:val="22"/>
        </w:rPr>
        <w:t> 000 </w:t>
      </w:r>
      <w:r w:rsidRPr="00425B36">
        <w:rPr>
          <w:rFonts w:cs="Times New Roman"/>
          <w:sz w:val="22"/>
          <w:szCs w:val="22"/>
        </w:rPr>
        <w:t>euros.</w:t>
      </w:r>
    </w:p>
    <w:p w14:paraId="535A43F2" w14:textId="3237F45B" w:rsidR="002377CE" w:rsidRPr="00425B36" w:rsidRDefault="002377CE" w:rsidP="00FB43EE">
      <w:pPr>
        <w:spacing w:line="276" w:lineRule="auto"/>
        <w:rPr>
          <w:rFonts w:cs="Times New Roman"/>
          <w:sz w:val="22"/>
          <w:szCs w:val="22"/>
        </w:rPr>
      </w:pPr>
      <w:r w:rsidRPr="00425B36">
        <w:rPr>
          <w:rFonts w:cs="Times New Roman"/>
          <w:sz w:val="22"/>
          <w:szCs w:val="22"/>
        </w:rPr>
        <w:t>Par acte du 24</w:t>
      </w:r>
      <w:r w:rsidR="001D29B1" w:rsidRPr="00425B36">
        <w:rPr>
          <w:rFonts w:cs="Times New Roman"/>
          <w:sz w:val="22"/>
          <w:szCs w:val="22"/>
        </w:rPr>
        <w:t> </w:t>
      </w:r>
      <w:r w:rsidRPr="00425B36">
        <w:rPr>
          <w:rFonts w:cs="Times New Roman"/>
          <w:sz w:val="22"/>
          <w:szCs w:val="22"/>
        </w:rPr>
        <w:t xml:space="preserve">septembre 2016, Monsieur </w:t>
      </w:r>
      <w:proofErr w:type="spellStart"/>
      <w:r w:rsidRPr="00425B36">
        <w:rPr>
          <w:rFonts w:cs="Times New Roman"/>
          <w:sz w:val="22"/>
          <w:szCs w:val="22"/>
        </w:rPr>
        <w:t>Rantène</w:t>
      </w:r>
      <w:proofErr w:type="spellEnd"/>
      <w:r w:rsidRPr="00425B36">
        <w:rPr>
          <w:rFonts w:cs="Times New Roman"/>
          <w:sz w:val="22"/>
          <w:szCs w:val="22"/>
        </w:rPr>
        <w:t xml:space="preserve"> a donc comme il a été dit conclu un acte de cautionnement apparemment régulier en la forme. Plus précisément, dès la page</w:t>
      </w:r>
      <w:r w:rsidR="001D29B1" w:rsidRPr="00425B36">
        <w:rPr>
          <w:rFonts w:cs="Times New Roman"/>
          <w:sz w:val="22"/>
          <w:szCs w:val="22"/>
        </w:rPr>
        <w:t> </w:t>
      </w:r>
      <w:r w:rsidRPr="00425B36">
        <w:rPr>
          <w:rFonts w:cs="Times New Roman"/>
          <w:sz w:val="22"/>
          <w:szCs w:val="22"/>
        </w:rPr>
        <w:t xml:space="preserve">1 de l’acte, Monsieur </w:t>
      </w:r>
      <w:proofErr w:type="spellStart"/>
      <w:r w:rsidRPr="00425B36">
        <w:rPr>
          <w:rFonts w:cs="Times New Roman"/>
          <w:sz w:val="22"/>
          <w:szCs w:val="22"/>
        </w:rPr>
        <w:t>Rantène</w:t>
      </w:r>
      <w:proofErr w:type="spellEnd"/>
      <w:r w:rsidRPr="00425B36">
        <w:rPr>
          <w:rFonts w:cs="Times New Roman"/>
          <w:sz w:val="22"/>
          <w:szCs w:val="22"/>
        </w:rPr>
        <w:t xml:space="preserve"> s’est clairement engagé «</w:t>
      </w:r>
      <w:r w:rsidR="00F74C5F">
        <w:rPr>
          <w:rFonts w:cs="Times New Roman"/>
          <w:sz w:val="22"/>
          <w:szCs w:val="22"/>
        </w:rPr>
        <w:t> </w:t>
      </w:r>
      <w:r w:rsidRPr="00AC5DD6">
        <w:rPr>
          <w:rFonts w:cs="Times New Roman"/>
          <w:i/>
          <w:iCs/>
          <w:sz w:val="22"/>
          <w:szCs w:val="22"/>
        </w:rPr>
        <w:t>pour une durée de trois ans</w:t>
      </w:r>
      <w:r w:rsidR="00F74C5F">
        <w:rPr>
          <w:rFonts w:cs="Times New Roman"/>
          <w:sz w:val="22"/>
          <w:szCs w:val="22"/>
        </w:rPr>
        <w:t> </w:t>
      </w:r>
      <w:r w:rsidRPr="00425B36">
        <w:rPr>
          <w:rFonts w:cs="Times New Roman"/>
          <w:sz w:val="22"/>
          <w:szCs w:val="22"/>
        </w:rPr>
        <w:t>», ladite durée étant indiquée et dans le cadre «</w:t>
      </w:r>
      <w:r w:rsidR="00F74C5F">
        <w:rPr>
          <w:rFonts w:cs="Times New Roman"/>
          <w:sz w:val="22"/>
          <w:szCs w:val="22"/>
        </w:rPr>
        <w:t> </w:t>
      </w:r>
      <w:r w:rsidRPr="00AC5DD6">
        <w:rPr>
          <w:rFonts w:cs="Times New Roman"/>
          <w:i/>
          <w:iCs/>
          <w:sz w:val="22"/>
          <w:szCs w:val="22"/>
        </w:rPr>
        <w:t>durée</w:t>
      </w:r>
      <w:r w:rsidR="00F74C5F">
        <w:rPr>
          <w:rFonts w:cs="Times New Roman"/>
          <w:sz w:val="22"/>
          <w:szCs w:val="22"/>
        </w:rPr>
        <w:t> </w:t>
      </w:r>
      <w:r w:rsidRPr="00425B36">
        <w:rPr>
          <w:rFonts w:cs="Times New Roman"/>
          <w:sz w:val="22"/>
          <w:szCs w:val="22"/>
        </w:rPr>
        <w:t>» prévu à cet effet (au même titre que l’indication de l’identité du débiteur principal ou celle de l’obligation garantie) et dans le texte de la mention manuscrite rédigée de sa main par la caution, dans le respect de l’article L.</w:t>
      </w:r>
      <w:r w:rsidR="001D29B1" w:rsidRPr="00425B36">
        <w:rPr>
          <w:rFonts w:cs="Times New Roman"/>
          <w:sz w:val="22"/>
          <w:szCs w:val="22"/>
        </w:rPr>
        <w:t> </w:t>
      </w:r>
      <w:r w:rsidRPr="00425B36">
        <w:rPr>
          <w:rFonts w:cs="Times New Roman"/>
          <w:sz w:val="22"/>
          <w:szCs w:val="22"/>
        </w:rPr>
        <w:t>331-1 du Code de la consommation. Cela dit, en page</w:t>
      </w:r>
      <w:r w:rsidR="001D29B1" w:rsidRPr="00425B36">
        <w:rPr>
          <w:rFonts w:cs="Times New Roman"/>
          <w:sz w:val="22"/>
          <w:szCs w:val="22"/>
        </w:rPr>
        <w:t> </w:t>
      </w:r>
      <w:r w:rsidRPr="00425B36">
        <w:rPr>
          <w:rFonts w:cs="Times New Roman"/>
          <w:sz w:val="22"/>
          <w:szCs w:val="22"/>
        </w:rPr>
        <w:t>2 du contrat de cautionnement, dans une version préimprimée et une police beaucoup moins lisible, en caractères extrêmement petits, figure un point</w:t>
      </w:r>
      <w:r w:rsidR="001D29B1" w:rsidRPr="00425B36">
        <w:rPr>
          <w:rFonts w:cs="Times New Roman"/>
          <w:sz w:val="22"/>
          <w:szCs w:val="22"/>
        </w:rPr>
        <w:t> </w:t>
      </w:r>
      <w:r w:rsidRPr="00425B36">
        <w:rPr>
          <w:rFonts w:cs="Times New Roman"/>
          <w:sz w:val="22"/>
          <w:szCs w:val="22"/>
        </w:rPr>
        <w:t>6 aux termes duquel il est précisé que</w:t>
      </w:r>
      <w:r w:rsidR="001D29B1" w:rsidRPr="00425B36">
        <w:rPr>
          <w:rFonts w:cs="Times New Roman"/>
          <w:sz w:val="22"/>
          <w:szCs w:val="22"/>
        </w:rPr>
        <w:t> </w:t>
      </w:r>
      <w:r w:rsidRPr="00425B36">
        <w:rPr>
          <w:rFonts w:cs="Times New Roman"/>
          <w:sz w:val="22"/>
          <w:szCs w:val="22"/>
        </w:rPr>
        <w:t>: «</w:t>
      </w:r>
      <w:r w:rsidR="00F74C5F">
        <w:rPr>
          <w:rFonts w:cs="Times New Roman"/>
          <w:sz w:val="22"/>
          <w:szCs w:val="22"/>
        </w:rPr>
        <w:t> </w:t>
      </w:r>
      <w:r w:rsidRPr="00AC5DD6">
        <w:rPr>
          <w:rFonts w:cs="Times New Roman"/>
          <w:i/>
          <w:iCs/>
          <w:sz w:val="22"/>
          <w:szCs w:val="22"/>
        </w:rPr>
        <w:t>Le présent cautionnement est valable pour la durée indiquée ci-dessus, à l’expiration de laquelle je serai délivré de tous engagements envers la banque</w:t>
      </w:r>
      <w:r w:rsidR="00F74C5F">
        <w:rPr>
          <w:rFonts w:cs="Times New Roman"/>
          <w:i/>
          <w:iCs/>
          <w:sz w:val="22"/>
          <w:szCs w:val="22"/>
        </w:rPr>
        <w:t> </w:t>
      </w:r>
      <w:r w:rsidRPr="00425B36">
        <w:rPr>
          <w:rFonts w:cs="Times New Roman"/>
          <w:sz w:val="22"/>
          <w:szCs w:val="22"/>
        </w:rPr>
        <w:t>».</w:t>
      </w:r>
    </w:p>
    <w:p w14:paraId="27817B3E" w14:textId="2B3A89E0" w:rsidR="00AC5DD6" w:rsidRDefault="002377CE" w:rsidP="00FB43EE">
      <w:pPr>
        <w:spacing w:line="276" w:lineRule="auto"/>
        <w:rPr>
          <w:rFonts w:cs="Times New Roman"/>
          <w:sz w:val="22"/>
          <w:szCs w:val="22"/>
        </w:rPr>
      </w:pPr>
      <w:r w:rsidRPr="00425B36">
        <w:rPr>
          <w:rFonts w:cs="Times New Roman"/>
          <w:sz w:val="22"/>
          <w:szCs w:val="22"/>
        </w:rPr>
        <w:t xml:space="preserve">Suite à la défaillance de la société garantie dans le remboursement de sa dette, la </w:t>
      </w:r>
      <w:r w:rsidR="001D29B1" w:rsidRPr="00425B36">
        <w:rPr>
          <w:rFonts w:cs="Times New Roman"/>
          <w:sz w:val="22"/>
          <w:szCs w:val="22"/>
        </w:rPr>
        <w:t>B</w:t>
      </w:r>
      <w:r w:rsidRPr="00425B36">
        <w:rPr>
          <w:rFonts w:cs="Times New Roman"/>
          <w:sz w:val="22"/>
          <w:szCs w:val="22"/>
        </w:rPr>
        <w:t xml:space="preserve">anque populaire du Sud n’a adressé à Monsieur </w:t>
      </w:r>
      <w:proofErr w:type="spellStart"/>
      <w:r w:rsidRPr="00425B36">
        <w:rPr>
          <w:rFonts w:cs="Times New Roman"/>
          <w:sz w:val="22"/>
          <w:szCs w:val="22"/>
        </w:rPr>
        <w:t>Rantène</w:t>
      </w:r>
      <w:proofErr w:type="spellEnd"/>
      <w:r w:rsidRPr="00425B36">
        <w:rPr>
          <w:rFonts w:cs="Times New Roman"/>
          <w:sz w:val="22"/>
          <w:szCs w:val="22"/>
        </w:rPr>
        <w:t xml:space="preserve"> une mise en demeure de régler son engagement de caution que le 15</w:t>
      </w:r>
      <w:r w:rsidR="001D29B1" w:rsidRPr="00425B36">
        <w:rPr>
          <w:rFonts w:cs="Times New Roman"/>
          <w:sz w:val="22"/>
          <w:szCs w:val="22"/>
        </w:rPr>
        <w:t> </w:t>
      </w:r>
      <w:r w:rsidRPr="00425B36">
        <w:rPr>
          <w:rFonts w:cs="Times New Roman"/>
          <w:sz w:val="22"/>
          <w:szCs w:val="22"/>
        </w:rPr>
        <w:t>novembre 2019 pour ne l’assigner en paiement que le 15</w:t>
      </w:r>
      <w:r w:rsidR="001D29B1" w:rsidRPr="00425B36">
        <w:rPr>
          <w:rFonts w:cs="Times New Roman"/>
          <w:sz w:val="22"/>
          <w:szCs w:val="22"/>
        </w:rPr>
        <w:t> </w:t>
      </w:r>
      <w:r w:rsidRPr="00425B36">
        <w:rPr>
          <w:rFonts w:cs="Times New Roman"/>
          <w:sz w:val="22"/>
          <w:szCs w:val="22"/>
        </w:rPr>
        <w:t xml:space="preserve">janvier 2020, soit postérieurement au terme convenu dans le contrat de cautionnement. Aussi, Monsieur </w:t>
      </w:r>
      <w:proofErr w:type="spellStart"/>
      <w:r w:rsidRPr="00425B36">
        <w:rPr>
          <w:rFonts w:cs="Times New Roman"/>
          <w:sz w:val="22"/>
          <w:szCs w:val="22"/>
        </w:rPr>
        <w:t>Rantène</w:t>
      </w:r>
      <w:proofErr w:type="spellEnd"/>
      <w:r w:rsidRPr="00425B36">
        <w:rPr>
          <w:rFonts w:cs="Times New Roman"/>
          <w:sz w:val="22"/>
          <w:szCs w:val="22"/>
        </w:rPr>
        <w:t xml:space="preserve"> a-t-il alors prétendu que ladite action était forclose.</w:t>
      </w:r>
      <w:r w:rsidR="00AC5DD6">
        <w:rPr>
          <w:rFonts w:cs="Times New Roman"/>
          <w:sz w:val="22"/>
          <w:szCs w:val="22"/>
        </w:rPr>
        <w:t xml:space="preserve"> </w:t>
      </w:r>
      <w:r w:rsidR="00AC5DD6" w:rsidRPr="00AC5DD6">
        <w:rPr>
          <w:rFonts w:cs="Times New Roman"/>
          <w:b/>
          <w:bCs/>
          <w:i/>
          <w:iCs/>
          <w:sz w:val="22"/>
          <w:szCs w:val="22"/>
        </w:rPr>
        <w:t>La durée stipulée dans le contrat de cautionnement empêche-t-elle la banque de demander à la caution le paiement de la dette du débiteur principal</w:t>
      </w:r>
      <w:r w:rsidR="00F74C5F">
        <w:rPr>
          <w:rFonts w:cs="Times New Roman"/>
          <w:b/>
          <w:bCs/>
          <w:i/>
          <w:iCs/>
          <w:sz w:val="22"/>
          <w:szCs w:val="22"/>
        </w:rPr>
        <w:t> </w:t>
      </w:r>
      <w:r w:rsidR="00AC5DD6" w:rsidRPr="00AC5DD6">
        <w:rPr>
          <w:rFonts w:cs="Times New Roman"/>
          <w:b/>
          <w:bCs/>
          <w:i/>
          <w:iCs/>
          <w:sz w:val="22"/>
          <w:szCs w:val="22"/>
        </w:rPr>
        <w:t>?</w:t>
      </w:r>
      <w:r w:rsidR="00AC5DD6" w:rsidRPr="00AC5DD6">
        <w:rPr>
          <w:rFonts w:cs="Times New Roman"/>
          <w:sz w:val="22"/>
          <w:szCs w:val="22"/>
        </w:rPr>
        <w:t xml:space="preserve"> </w:t>
      </w:r>
    </w:p>
    <w:p w14:paraId="5AAD0CDD" w14:textId="71EA430D" w:rsidR="00DD1FD7" w:rsidRPr="00425B36" w:rsidRDefault="00DD1FD7" w:rsidP="00FB43EE">
      <w:pPr>
        <w:spacing w:before="360" w:line="276" w:lineRule="auto"/>
        <w:rPr>
          <w:rFonts w:eastAsia="Calibri" w:cs="Times New Roman"/>
          <w:b/>
          <w:bCs/>
          <w:i/>
          <w:iCs/>
          <w:sz w:val="22"/>
          <w:szCs w:val="22"/>
          <w:lang w:eastAsia="en-US"/>
        </w:rPr>
      </w:pPr>
      <w:r w:rsidRPr="00425B36">
        <w:rPr>
          <w:rFonts w:eastAsia="Calibri" w:cs="Times New Roman"/>
          <w:b/>
          <w:bCs/>
          <w:i/>
          <w:iCs/>
          <w:sz w:val="22"/>
          <w:szCs w:val="22"/>
          <w:lang w:eastAsia="en-US"/>
        </w:rPr>
        <w:t>CAS PRATIQUE N° </w:t>
      </w:r>
      <w:r w:rsidR="00BB5EF1" w:rsidRPr="00425B36">
        <w:rPr>
          <w:rFonts w:eastAsia="Calibri" w:cs="Times New Roman"/>
          <w:b/>
          <w:bCs/>
          <w:i/>
          <w:iCs/>
          <w:sz w:val="22"/>
          <w:szCs w:val="22"/>
          <w:lang w:eastAsia="en-US"/>
        </w:rPr>
        <w:t>3</w:t>
      </w:r>
    </w:p>
    <w:p w14:paraId="5B3772D8" w14:textId="0F423983" w:rsidR="00F70C9D" w:rsidRDefault="002377CE" w:rsidP="00FB43EE">
      <w:pPr>
        <w:spacing w:line="276" w:lineRule="auto"/>
        <w:rPr>
          <w:rFonts w:cs="Times New Roman"/>
          <w:sz w:val="22"/>
          <w:szCs w:val="22"/>
        </w:rPr>
      </w:pPr>
      <w:r w:rsidRPr="00425B36">
        <w:rPr>
          <w:rFonts w:cs="Times New Roman"/>
          <w:sz w:val="22"/>
          <w:szCs w:val="22"/>
        </w:rPr>
        <w:t>En juillet 201</w:t>
      </w:r>
      <w:r w:rsidR="00F76759">
        <w:rPr>
          <w:rFonts w:cs="Times New Roman"/>
          <w:sz w:val="22"/>
          <w:szCs w:val="22"/>
        </w:rPr>
        <w:t>9</w:t>
      </w:r>
      <w:r w:rsidRPr="00425B36">
        <w:rPr>
          <w:rFonts w:cs="Times New Roman"/>
          <w:sz w:val="22"/>
          <w:szCs w:val="22"/>
        </w:rPr>
        <w:t>, la Caisse d’</w:t>
      </w:r>
      <w:r w:rsidR="001D29B1" w:rsidRPr="00425B36">
        <w:rPr>
          <w:rFonts w:cs="Times New Roman"/>
          <w:sz w:val="22"/>
          <w:szCs w:val="22"/>
        </w:rPr>
        <w:t>É</w:t>
      </w:r>
      <w:r w:rsidRPr="00425B36">
        <w:rPr>
          <w:rFonts w:cs="Times New Roman"/>
          <w:sz w:val="22"/>
          <w:szCs w:val="22"/>
        </w:rPr>
        <w:t>pargne a conclu, avec la société «</w:t>
      </w:r>
      <w:r w:rsidR="00F74C5F">
        <w:rPr>
          <w:rFonts w:cs="Times New Roman"/>
          <w:sz w:val="22"/>
          <w:szCs w:val="22"/>
        </w:rPr>
        <w:t> </w:t>
      </w:r>
      <w:r w:rsidRPr="00425B36">
        <w:rPr>
          <w:rFonts w:cs="Times New Roman"/>
          <w:sz w:val="22"/>
          <w:szCs w:val="22"/>
        </w:rPr>
        <w:t>Libre ère</w:t>
      </w:r>
      <w:r w:rsidR="00F74C5F">
        <w:rPr>
          <w:rFonts w:cs="Times New Roman"/>
          <w:sz w:val="22"/>
          <w:szCs w:val="22"/>
        </w:rPr>
        <w:t> </w:t>
      </w:r>
      <w:r w:rsidRPr="00425B36">
        <w:rPr>
          <w:rFonts w:cs="Times New Roman"/>
          <w:sz w:val="22"/>
          <w:szCs w:val="22"/>
        </w:rPr>
        <w:t>» une convention de compte courant lui consentant une ouverture de crédit de 100</w:t>
      </w:r>
      <w:r w:rsidR="001D29B1" w:rsidRPr="00425B36">
        <w:rPr>
          <w:rFonts w:cs="Times New Roman"/>
          <w:sz w:val="22"/>
          <w:szCs w:val="22"/>
        </w:rPr>
        <w:t> 000 </w:t>
      </w:r>
      <w:r w:rsidRPr="00425B36">
        <w:rPr>
          <w:rFonts w:cs="Times New Roman"/>
          <w:sz w:val="22"/>
          <w:szCs w:val="22"/>
        </w:rPr>
        <w:t>euros ainsi qu’une ligne d’escompte de 80</w:t>
      </w:r>
      <w:r w:rsidR="001D29B1" w:rsidRPr="00425B36">
        <w:rPr>
          <w:rFonts w:cs="Times New Roman"/>
          <w:sz w:val="22"/>
          <w:szCs w:val="22"/>
        </w:rPr>
        <w:t> 000 </w:t>
      </w:r>
      <w:r w:rsidRPr="00425B36">
        <w:rPr>
          <w:rFonts w:cs="Times New Roman"/>
          <w:sz w:val="22"/>
          <w:szCs w:val="22"/>
        </w:rPr>
        <w:t>euros. Le co-gérant de la SARL «</w:t>
      </w:r>
      <w:r w:rsidR="00F74C5F">
        <w:rPr>
          <w:rFonts w:cs="Times New Roman"/>
          <w:sz w:val="22"/>
          <w:szCs w:val="22"/>
        </w:rPr>
        <w:t> </w:t>
      </w:r>
      <w:r w:rsidRPr="00425B36">
        <w:rPr>
          <w:rFonts w:cs="Times New Roman"/>
          <w:sz w:val="22"/>
          <w:szCs w:val="22"/>
        </w:rPr>
        <w:t>Libre ère</w:t>
      </w:r>
      <w:r w:rsidR="00F74C5F">
        <w:rPr>
          <w:rFonts w:cs="Times New Roman"/>
          <w:sz w:val="22"/>
          <w:szCs w:val="22"/>
        </w:rPr>
        <w:t> </w:t>
      </w:r>
      <w:r w:rsidRPr="00425B36">
        <w:rPr>
          <w:rFonts w:cs="Times New Roman"/>
          <w:sz w:val="22"/>
          <w:szCs w:val="22"/>
        </w:rPr>
        <w:t>», M.</w:t>
      </w:r>
      <w:r w:rsidR="001D29B1" w:rsidRPr="00425B36">
        <w:rPr>
          <w:rFonts w:cs="Times New Roman"/>
          <w:sz w:val="22"/>
          <w:szCs w:val="22"/>
        </w:rPr>
        <w:t> </w:t>
      </w:r>
      <w:r w:rsidRPr="00425B36">
        <w:rPr>
          <w:rFonts w:cs="Times New Roman"/>
          <w:sz w:val="22"/>
          <w:szCs w:val="22"/>
        </w:rPr>
        <w:t>Marc Page, s’est régulièrement porté caution solidaire de l’ensemble des engagements de la société à hauteur de 120</w:t>
      </w:r>
      <w:r w:rsidR="001D29B1" w:rsidRPr="00425B36">
        <w:rPr>
          <w:rFonts w:cs="Times New Roman"/>
          <w:sz w:val="22"/>
          <w:szCs w:val="22"/>
        </w:rPr>
        <w:t> 000 </w:t>
      </w:r>
      <w:r w:rsidRPr="00425B36">
        <w:rPr>
          <w:rFonts w:cs="Times New Roman"/>
          <w:sz w:val="22"/>
          <w:szCs w:val="22"/>
        </w:rPr>
        <w:t xml:space="preserve">euros, pour une durée de dix ans. </w:t>
      </w:r>
    </w:p>
    <w:p w14:paraId="72C3D45F" w14:textId="07B6827D" w:rsidR="00F70C9D" w:rsidRDefault="002377CE" w:rsidP="00FB43EE">
      <w:pPr>
        <w:spacing w:line="276" w:lineRule="auto"/>
        <w:rPr>
          <w:rFonts w:cs="Times New Roman"/>
          <w:sz w:val="22"/>
          <w:szCs w:val="22"/>
        </w:rPr>
      </w:pPr>
      <w:r w:rsidRPr="00425B36">
        <w:rPr>
          <w:rFonts w:cs="Times New Roman"/>
          <w:sz w:val="22"/>
          <w:szCs w:val="22"/>
        </w:rPr>
        <w:t>En février 20</w:t>
      </w:r>
      <w:r w:rsidR="00F76759">
        <w:rPr>
          <w:rFonts w:cs="Times New Roman"/>
          <w:sz w:val="22"/>
          <w:szCs w:val="22"/>
        </w:rPr>
        <w:t>21</w:t>
      </w:r>
      <w:r w:rsidRPr="00425B36">
        <w:rPr>
          <w:rFonts w:cs="Times New Roman"/>
          <w:sz w:val="22"/>
          <w:szCs w:val="22"/>
        </w:rPr>
        <w:t>, la société «</w:t>
      </w:r>
      <w:r w:rsidR="00F74C5F">
        <w:rPr>
          <w:rFonts w:cs="Times New Roman"/>
          <w:sz w:val="22"/>
          <w:szCs w:val="22"/>
        </w:rPr>
        <w:t> </w:t>
      </w:r>
      <w:r w:rsidRPr="00425B36">
        <w:rPr>
          <w:rFonts w:cs="Times New Roman"/>
          <w:sz w:val="22"/>
          <w:szCs w:val="22"/>
        </w:rPr>
        <w:t>Libre ère</w:t>
      </w:r>
      <w:r w:rsidR="00F74C5F">
        <w:rPr>
          <w:rFonts w:cs="Times New Roman"/>
          <w:sz w:val="22"/>
          <w:szCs w:val="22"/>
        </w:rPr>
        <w:t> </w:t>
      </w:r>
      <w:r w:rsidRPr="00425B36">
        <w:rPr>
          <w:rFonts w:cs="Times New Roman"/>
          <w:sz w:val="22"/>
          <w:szCs w:val="22"/>
        </w:rPr>
        <w:t>» absorba la société «</w:t>
      </w:r>
      <w:r w:rsidR="00F74C5F">
        <w:rPr>
          <w:rFonts w:cs="Times New Roman"/>
          <w:sz w:val="22"/>
          <w:szCs w:val="22"/>
        </w:rPr>
        <w:t> </w:t>
      </w:r>
      <w:r w:rsidRPr="00425B36">
        <w:rPr>
          <w:rFonts w:cs="Times New Roman"/>
          <w:sz w:val="22"/>
          <w:szCs w:val="22"/>
        </w:rPr>
        <w:t xml:space="preserve">Eddy </w:t>
      </w:r>
      <w:proofErr w:type="spellStart"/>
      <w:r w:rsidRPr="00425B36">
        <w:rPr>
          <w:rFonts w:cs="Times New Roman"/>
          <w:sz w:val="22"/>
          <w:szCs w:val="22"/>
        </w:rPr>
        <w:t>Teur</w:t>
      </w:r>
      <w:proofErr w:type="spellEnd"/>
      <w:r w:rsidR="00F74C5F">
        <w:rPr>
          <w:rFonts w:cs="Times New Roman"/>
          <w:sz w:val="22"/>
          <w:szCs w:val="22"/>
        </w:rPr>
        <w:t> </w:t>
      </w:r>
      <w:r w:rsidRPr="00425B36">
        <w:rPr>
          <w:rFonts w:cs="Times New Roman"/>
          <w:sz w:val="22"/>
          <w:szCs w:val="22"/>
        </w:rPr>
        <w:t>» qui bénéficiait depuis 20</w:t>
      </w:r>
      <w:r w:rsidR="00F76759">
        <w:rPr>
          <w:rFonts w:cs="Times New Roman"/>
          <w:sz w:val="22"/>
          <w:szCs w:val="22"/>
        </w:rPr>
        <w:t>20</w:t>
      </w:r>
      <w:r w:rsidRPr="00425B36">
        <w:rPr>
          <w:rFonts w:cs="Times New Roman"/>
          <w:sz w:val="22"/>
          <w:szCs w:val="22"/>
        </w:rPr>
        <w:t xml:space="preserve"> de deux crédits consentis par la même banque. En janvier 20</w:t>
      </w:r>
      <w:r w:rsidR="00F76759">
        <w:rPr>
          <w:rFonts w:cs="Times New Roman"/>
          <w:sz w:val="22"/>
          <w:szCs w:val="22"/>
        </w:rPr>
        <w:t>22</w:t>
      </w:r>
      <w:r w:rsidRPr="00425B36">
        <w:rPr>
          <w:rFonts w:cs="Times New Roman"/>
          <w:sz w:val="22"/>
          <w:szCs w:val="22"/>
        </w:rPr>
        <w:t>, M.</w:t>
      </w:r>
      <w:r w:rsidR="001D29B1" w:rsidRPr="00425B36">
        <w:rPr>
          <w:rFonts w:cs="Times New Roman"/>
          <w:sz w:val="22"/>
          <w:szCs w:val="22"/>
        </w:rPr>
        <w:t> </w:t>
      </w:r>
      <w:r w:rsidRPr="00425B36">
        <w:rPr>
          <w:rFonts w:cs="Times New Roman"/>
          <w:sz w:val="22"/>
          <w:szCs w:val="22"/>
        </w:rPr>
        <w:t xml:space="preserve">Page cessait ses fonctions. </w:t>
      </w:r>
      <w:r w:rsidR="001D29B1" w:rsidRPr="00425B36">
        <w:rPr>
          <w:rFonts w:cs="Times New Roman"/>
          <w:sz w:val="22"/>
          <w:szCs w:val="22"/>
        </w:rPr>
        <w:t>À</w:t>
      </w:r>
      <w:r w:rsidRPr="00425B36">
        <w:rPr>
          <w:rFonts w:cs="Times New Roman"/>
          <w:sz w:val="22"/>
          <w:szCs w:val="22"/>
        </w:rPr>
        <w:t xml:space="preserve"> la suite de la liquidation judiciaire de la société «</w:t>
      </w:r>
      <w:r w:rsidR="00F74C5F">
        <w:rPr>
          <w:rFonts w:cs="Times New Roman"/>
          <w:sz w:val="22"/>
          <w:szCs w:val="22"/>
        </w:rPr>
        <w:t> </w:t>
      </w:r>
      <w:r w:rsidRPr="00425B36">
        <w:rPr>
          <w:rFonts w:cs="Times New Roman"/>
          <w:sz w:val="22"/>
          <w:szCs w:val="22"/>
        </w:rPr>
        <w:t>Libre ère</w:t>
      </w:r>
      <w:r w:rsidR="00F74C5F">
        <w:rPr>
          <w:rFonts w:cs="Times New Roman"/>
          <w:sz w:val="22"/>
          <w:szCs w:val="22"/>
        </w:rPr>
        <w:t> </w:t>
      </w:r>
      <w:r w:rsidRPr="00425B36">
        <w:rPr>
          <w:rFonts w:cs="Times New Roman"/>
          <w:sz w:val="22"/>
          <w:szCs w:val="22"/>
        </w:rPr>
        <w:t>» intervenue en octobre 20</w:t>
      </w:r>
      <w:r w:rsidR="00F76759">
        <w:rPr>
          <w:rFonts w:cs="Times New Roman"/>
          <w:sz w:val="22"/>
          <w:szCs w:val="22"/>
        </w:rPr>
        <w:t>22</w:t>
      </w:r>
      <w:r w:rsidRPr="00425B36">
        <w:rPr>
          <w:rFonts w:cs="Times New Roman"/>
          <w:sz w:val="22"/>
          <w:szCs w:val="22"/>
        </w:rPr>
        <w:t xml:space="preserve">, la banque </w:t>
      </w:r>
      <w:r w:rsidR="00550592">
        <w:rPr>
          <w:rFonts w:cs="Times New Roman"/>
          <w:sz w:val="22"/>
          <w:szCs w:val="22"/>
        </w:rPr>
        <w:t>poursuit</w:t>
      </w:r>
      <w:r w:rsidRPr="00425B36">
        <w:rPr>
          <w:rFonts w:cs="Times New Roman"/>
          <w:sz w:val="22"/>
          <w:szCs w:val="22"/>
        </w:rPr>
        <w:t xml:space="preserve"> M.</w:t>
      </w:r>
      <w:r w:rsidR="001D29B1" w:rsidRPr="00425B36">
        <w:rPr>
          <w:rFonts w:cs="Times New Roman"/>
          <w:sz w:val="22"/>
          <w:szCs w:val="22"/>
        </w:rPr>
        <w:t> </w:t>
      </w:r>
      <w:r w:rsidRPr="00425B36">
        <w:rPr>
          <w:rFonts w:cs="Times New Roman"/>
          <w:sz w:val="22"/>
          <w:szCs w:val="22"/>
        </w:rPr>
        <w:t>Page en paiement de la somme globale de 120</w:t>
      </w:r>
      <w:r w:rsidR="001D29B1" w:rsidRPr="00425B36">
        <w:rPr>
          <w:rFonts w:cs="Times New Roman"/>
          <w:sz w:val="22"/>
          <w:szCs w:val="22"/>
        </w:rPr>
        <w:t> 000 </w:t>
      </w:r>
      <w:r w:rsidRPr="00425B36">
        <w:rPr>
          <w:rFonts w:cs="Times New Roman"/>
          <w:sz w:val="22"/>
          <w:szCs w:val="22"/>
        </w:rPr>
        <w:t>euros au titre de tous les engagements de crédit qu’elle estimait couverts, y compris ceux de l’ex-société «</w:t>
      </w:r>
      <w:r w:rsidR="00F74C5F">
        <w:rPr>
          <w:rFonts w:cs="Times New Roman"/>
          <w:sz w:val="22"/>
          <w:szCs w:val="22"/>
        </w:rPr>
        <w:t> </w:t>
      </w:r>
      <w:r w:rsidRPr="00425B36">
        <w:rPr>
          <w:rFonts w:cs="Times New Roman"/>
          <w:sz w:val="22"/>
          <w:szCs w:val="22"/>
        </w:rPr>
        <w:t xml:space="preserve">Eddy </w:t>
      </w:r>
      <w:proofErr w:type="spellStart"/>
      <w:r w:rsidRPr="00425B36">
        <w:rPr>
          <w:rFonts w:cs="Times New Roman"/>
          <w:sz w:val="22"/>
          <w:szCs w:val="22"/>
        </w:rPr>
        <w:t>Teur</w:t>
      </w:r>
      <w:proofErr w:type="spellEnd"/>
      <w:r w:rsidR="00F74C5F">
        <w:rPr>
          <w:rFonts w:cs="Times New Roman"/>
          <w:sz w:val="22"/>
          <w:szCs w:val="22"/>
        </w:rPr>
        <w:t> </w:t>
      </w:r>
      <w:r w:rsidRPr="00425B36">
        <w:rPr>
          <w:rFonts w:cs="Times New Roman"/>
          <w:sz w:val="22"/>
          <w:szCs w:val="22"/>
        </w:rPr>
        <w:t xml:space="preserve">». </w:t>
      </w:r>
    </w:p>
    <w:p w14:paraId="349F9B13" w14:textId="06741236" w:rsidR="00F70C9D" w:rsidRDefault="002377CE" w:rsidP="00FB43EE">
      <w:pPr>
        <w:spacing w:line="276" w:lineRule="auto"/>
        <w:rPr>
          <w:rFonts w:cs="Times New Roman"/>
          <w:sz w:val="22"/>
          <w:szCs w:val="22"/>
        </w:rPr>
      </w:pPr>
      <w:r w:rsidRPr="00425B36">
        <w:rPr>
          <w:rFonts w:cs="Times New Roman"/>
          <w:sz w:val="22"/>
          <w:szCs w:val="22"/>
        </w:rPr>
        <w:t>Monsieur Page s’oppose à cette demande</w:t>
      </w:r>
      <w:r w:rsidR="00F70C9D">
        <w:rPr>
          <w:rFonts w:cs="Times New Roman"/>
          <w:sz w:val="22"/>
          <w:szCs w:val="22"/>
        </w:rPr>
        <w:t xml:space="preserve">. D’une part, il </w:t>
      </w:r>
      <w:r w:rsidRPr="00425B36">
        <w:rPr>
          <w:rFonts w:cs="Times New Roman"/>
          <w:sz w:val="22"/>
          <w:szCs w:val="22"/>
        </w:rPr>
        <w:t>estim</w:t>
      </w:r>
      <w:r w:rsidR="00F70C9D">
        <w:rPr>
          <w:rFonts w:cs="Times New Roman"/>
          <w:sz w:val="22"/>
          <w:szCs w:val="22"/>
        </w:rPr>
        <w:t>e</w:t>
      </w:r>
      <w:r w:rsidRPr="00425B36">
        <w:rPr>
          <w:rFonts w:cs="Times New Roman"/>
          <w:sz w:val="22"/>
          <w:szCs w:val="22"/>
        </w:rPr>
        <w:t xml:space="preserve"> ne pas être tenu de garantir les concours accordés à la société «</w:t>
      </w:r>
      <w:r w:rsidR="00F74C5F">
        <w:rPr>
          <w:rFonts w:cs="Times New Roman"/>
          <w:sz w:val="22"/>
          <w:szCs w:val="22"/>
        </w:rPr>
        <w:t> </w:t>
      </w:r>
      <w:r w:rsidRPr="00425B36">
        <w:rPr>
          <w:rFonts w:cs="Times New Roman"/>
          <w:sz w:val="22"/>
          <w:szCs w:val="22"/>
        </w:rPr>
        <w:t xml:space="preserve">Eddy </w:t>
      </w:r>
      <w:proofErr w:type="spellStart"/>
      <w:r w:rsidRPr="00425B36">
        <w:rPr>
          <w:rFonts w:cs="Times New Roman"/>
          <w:sz w:val="22"/>
          <w:szCs w:val="22"/>
        </w:rPr>
        <w:t>Teur</w:t>
      </w:r>
      <w:proofErr w:type="spellEnd"/>
      <w:r w:rsidR="00F74C5F">
        <w:rPr>
          <w:rFonts w:cs="Times New Roman"/>
          <w:sz w:val="22"/>
          <w:szCs w:val="22"/>
        </w:rPr>
        <w:t> </w:t>
      </w:r>
      <w:r w:rsidRPr="00425B36">
        <w:rPr>
          <w:rFonts w:cs="Times New Roman"/>
          <w:sz w:val="22"/>
          <w:szCs w:val="22"/>
        </w:rPr>
        <w:t>»</w:t>
      </w:r>
      <w:r w:rsidR="00F70C9D">
        <w:rPr>
          <w:rFonts w:cs="Times New Roman"/>
          <w:sz w:val="22"/>
          <w:szCs w:val="22"/>
        </w:rPr>
        <w:t xml:space="preserve">. </w:t>
      </w:r>
      <w:r w:rsidR="00C4527F">
        <w:rPr>
          <w:rFonts w:cs="Times New Roman"/>
          <w:sz w:val="22"/>
          <w:szCs w:val="22"/>
        </w:rPr>
        <w:t xml:space="preserve">D’autre part, il souhaiterait </w:t>
      </w:r>
      <w:r w:rsidR="00C4527F" w:rsidRPr="00425B36">
        <w:rPr>
          <w:rFonts w:cs="Times New Roman"/>
          <w:sz w:val="22"/>
          <w:szCs w:val="22"/>
        </w:rPr>
        <w:t xml:space="preserve">agir contre la banque estimant ne pas avoir été suffisamment averti des conséquences, à son endroit, de la fusion-absorption intervenue. </w:t>
      </w:r>
      <w:r w:rsidR="00C4527F" w:rsidRPr="00425B36">
        <w:rPr>
          <w:rFonts w:cs="Times New Roman"/>
          <w:b/>
          <w:bCs/>
          <w:i/>
          <w:iCs/>
          <w:sz w:val="22"/>
          <w:szCs w:val="22"/>
        </w:rPr>
        <w:t>Analysez la situation.</w:t>
      </w:r>
    </w:p>
    <w:p w14:paraId="4172FD84" w14:textId="77777777" w:rsidR="00C4527F" w:rsidRPr="00425B36" w:rsidRDefault="00C4527F">
      <w:pPr>
        <w:spacing w:line="276" w:lineRule="auto"/>
        <w:rPr>
          <w:rFonts w:cs="Times New Roman"/>
          <w:b/>
          <w:bCs/>
          <w:i/>
          <w:iCs/>
          <w:sz w:val="22"/>
          <w:szCs w:val="22"/>
        </w:rPr>
      </w:pPr>
    </w:p>
    <w:sectPr w:rsidR="00C4527F" w:rsidRPr="00425B3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1D526" w14:textId="77777777" w:rsidR="00AD25A8" w:rsidRDefault="00AD25A8" w:rsidP="00C35065">
      <w:pPr>
        <w:spacing w:before="0" w:after="0"/>
      </w:pPr>
      <w:r>
        <w:separator/>
      </w:r>
    </w:p>
  </w:endnote>
  <w:endnote w:type="continuationSeparator" w:id="0">
    <w:p w14:paraId="3F6734E1" w14:textId="77777777" w:rsidR="00AD25A8" w:rsidRDefault="00AD25A8" w:rsidP="00C3506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orps CS)">
    <w:altName w:val="Times New Roman"/>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F8FB3" w14:textId="77777777" w:rsidR="003F7A4C" w:rsidRDefault="003F7A4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8972C" w14:textId="77777777" w:rsidR="00C35065" w:rsidRPr="003F7A4C" w:rsidRDefault="00C35065">
    <w:pPr>
      <w:pStyle w:val="Pieddepage"/>
      <w:jc w:val="center"/>
    </w:pPr>
    <w:r w:rsidRPr="003F7A4C">
      <w:t xml:space="preserve">Page </w:t>
    </w:r>
    <w:r w:rsidRPr="003F7A4C">
      <w:fldChar w:fldCharType="begin"/>
    </w:r>
    <w:r w:rsidRPr="003F7A4C">
      <w:instrText>PAGE  \* Arabic  \* MERGEFORMAT</w:instrText>
    </w:r>
    <w:r w:rsidRPr="003F7A4C">
      <w:fldChar w:fldCharType="separate"/>
    </w:r>
    <w:r w:rsidRPr="003F7A4C">
      <w:t>2</w:t>
    </w:r>
    <w:r w:rsidRPr="003F7A4C">
      <w:fldChar w:fldCharType="end"/>
    </w:r>
    <w:r w:rsidRPr="003F7A4C">
      <w:t xml:space="preserve"> sur </w:t>
    </w:r>
    <w:r w:rsidR="008455A2">
      <w:fldChar w:fldCharType="begin"/>
    </w:r>
    <w:r w:rsidR="008455A2">
      <w:instrText>NUMPAGES  \* Arabic  \* MERGEFORMAT</w:instrText>
    </w:r>
    <w:r w:rsidR="008455A2">
      <w:fldChar w:fldCharType="separate"/>
    </w:r>
    <w:r w:rsidRPr="003F7A4C">
      <w:t>2</w:t>
    </w:r>
    <w:r w:rsidR="008455A2">
      <w:fldChar w:fldCharType="end"/>
    </w:r>
  </w:p>
  <w:p w14:paraId="381623F5" w14:textId="77777777" w:rsidR="00C35065" w:rsidRPr="003F7A4C" w:rsidRDefault="00C3506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ECB91" w14:textId="77777777" w:rsidR="003F7A4C" w:rsidRDefault="003F7A4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68D58" w14:textId="77777777" w:rsidR="00AD25A8" w:rsidRDefault="00AD25A8" w:rsidP="00C35065">
      <w:pPr>
        <w:spacing w:before="0" w:after="0"/>
      </w:pPr>
      <w:r>
        <w:separator/>
      </w:r>
    </w:p>
  </w:footnote>
  <w:footnote w:type="continuationSeparator" w:id="0">
    <w:p w14:paraId="5C6EF005" w14:textId="77777777" w:rsidR="00AD25A8" w:rsidRDefault="00AD25A8" w:rsidP="00C3506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49D03" w14:textId="77777777" w:rsidR="003F7A4C" w:rsidRDefault="003F7A4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1B62A" w14:textId="77777777" w:rsidR="003F7A4C" w:rsidRDefault="003F7A4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558CD" w14:textId="77777777" w:rsidR="003F7A4C" w:rsidRDefault="003F7A4C">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666F"/>
    <w:rsid w:val="00017908"/>
    <w:rsid w:val="000422AF"/>
    <w:rsid w:val="000441CC"/>
    <w:rsid w:val="00051D62"/>
    <w:rsid w:val="00072451"/>
    <w:rsid w:val="00122C21"/>
    <w:rsid w:val="00126F10"/>
    <w:rsid w:val="00127A38"/>
    <w:rsid w:val="001D29B1"/>
    <w:rsid w:val="002377CE"/>
    <w:rsid w:val="00237EF3"/>
    <w:rsid w:val="002A23AF"/>
    <w:rsid w:val="002A541F"/>
    <w:rsid w:val="002B30A8"/>
    <w:rsid w:val="00381D67"/>
    <w:rsid w:val="003A4CCD"/>
    <w:rsid w:val="003C4881"/>
    <w:rsid w:val="003D5A9F"/>
    <w:rsid w:val="003F19BE"/>
    <w:rsid w:val="003F7A4C"/>
    <w:rsid w:val="00407CDD"/>
    <w:rsid w:val="004144B3"/>
    <w:rsid w:val="00415A8F"/>
    <w:rsid w:val="00425B36"/>
    <w:rsid w:val="00452082"/>
    <w:rsid w:val="00465FE6"/>
    <w:rsid w:val="00471096"/>
    <w:rsid w:val="00474931"/>
    <w:rsid w:val="00486EE0"/>
    <w:rsid w:val="00550592"/>
    <w:rsid w:val="005D7FB2"/>
    <w:rsid w:val="005E666F"/>
    <w:rsid w:val="005E7D56"/>
    <w:rsid w:val="005F00DF"/>
    <w:rsid w:val="006026CF"/>
    <w:rsid w:val="006A5EFF"/>
    <w:rsid w:val="006C75AE"/>
    <w:rsid w:val="007779C6"/>
    <w:rsid w:val="007E345E"/>
    <w:rsid w:val="008320A4"/>
    <w:rsid w:val="008455A2"/>
    <w:rsid w:val="008810B3"/>
    <w:rsid w:val="008C26C5"/>
    <w:rsid w:val="008E2A2D"/>
    <w:rsid w:val="00910D88"/>
    <w:rsid w:val="00947E85"/>
    <w:rsid w:val="009510CC"/>
    <w:rsid w:val="00964855"/>
    <w:rsid w:val="0096793B"/>
    <w:rsid w:val="00A16958"/>
    <w:rsid w:val="00A20027"/>
    <w:rsid w:val="00A43AF7"/>
    <w:rsid w:val="00A63E75"/>
    <w:rsid w:val="00AB1AF2"/>
    <w:rsid w:val="00AC55D3"/>
    <w:rsid w:val="00AC5DD6"/>
    <w:rsid w:val="00AD25A8"/>
    <w:rsid w:val="00AE7BE9"/>
    <w:rsid w:val="00B43F7F"/>
    <w:rsid w:val="00B53489"/>
    <w:rsid w:val="00B71304"/>
    <w:rsid w:val="00B871AB"/>
    <w:rsid w:val="00BB5EF1"/>
    <w:rsid w:val="00BD7EDB"/>
    <w:rsid w:val="00C35065"/>
    <w:rsid w:val="00C4527F"/>
    <w:rsid w:val="00C525A5"/>
    <w:rsid w:val="00CC6A31"/>
    <w:rsid w:val="00D056A3"/>
    <w:rsid w:val="00D361F0"/>
    <w:rsid w:val="00D37190"/>
    <w:rsid w:val="00DB3582"/>
    <w:rsid w:val="00DD1FD7"/>
    <w:rsid w:val="00E2258A"/>
    <w:rsid w:val="00E453C8"/>
    <w:rsid w:val="00E61D53"/>
    <w:rsid w:val="00EE4144"/>
    <w:rsid w:val="00F23C3A"/>
    <w:rsid w:val="00F37B92"/>
    <w:rsid w:val="00F6565F"/>
    <w:rsid w:val="00F70C9D"/>
    <w:rsid w:val="00F729CD"/>
    <w:rsid w:val="00F74C5F"/>
    <w:rsid w:val="00F76759"/>
    <w:rsid w:val="00FB43EE"/>
    <w:rsid w:val="00FF7B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EC6A6"/>
  <w15:docId w15:val="{FEE6804B-0312-4E0F-8161-A07AB1618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5A5"/>
    <w:pPr>
      <w:spacing w:before="120" w:after="120" w:line="240" w:lineRule="auto"/>
      <w:jc w:val="both"/>
    </w:pPr>
    <w:rPr>
      <w:rFonts w:ascii="Times New Roman" w:eastAsiaTheme="minorEastAsia" w:hAnsi="Times New Roman"/>
      <w:sz w:val="24"/>
      <w:szCs w:val="24"/>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5E666F"/>
    <w:pPr>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table" w:styleId="Grilledutableau">
    <w:name w:val="Table Grid"/>
    <w:basedOn w:val="TableauNormal"/>
    <w:uiPriority w:val="59"/>
    <w:rsid w:val="002B30A8"/>
    <w:pPr>
      <w:spacing w:after="0" w:line="240" w:lineRule="auto"/>
    </w:pPr>
    <w:rPr>
      <w:rFonts w:eastAsiaTheme="minorEastAsia"/>
      <w:sz w:val="24"/>
      <w:szCs w:val="24"/>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35065"/>
    <w:pPr>
      <w:tabs>
        <w:tab w:val="center" w:pos="4536"/>
        <w:tab w:val="right" w:pos="9072"/>
      </w:tabs>
      <w:spacing w:before="0" w:after="0"/>
    </w:pPr>
  </w:style>
  <w:style w:type="character" w:customStyle="1" w:styleId="En-tteCar">
    <w:name w:val="En-tête Car"/>
    <w:basedOn w:val="Policepardfaut"/>
    <w:link w:val="En-tte"/>
    <w:uiPriority w:val="99"/>
    <w:rsid w:val="00C35065"/>
    <w:rPr>
      <w:rFonts w:ascii="Times New Roman" w:eastAsiaTheme="minorEastAsia" w:hAnsi="Times New Roman"/>
      <w:sz w:val="24"/>
      <w:szCs w:val="24"/>
      <w:lang w:eastAsia="ja-JP"/>
    </w:rPr>
  </w:style>
  <w:style w:type="paragraph" w:styleId="Pieddepage">
    <w:name w:val="footer"/>
    <w:basedOn w:val="Normal"/>
    <w:link w:val="PieddepageCar"/>
    <w:uiPriority w:val="99"/>
    <w:unhideWhenUsed/>
    <w:rsid w:val="00C35065"/>
    <w:pPr>
      <w:tabs>
        <w:tab w:val="center" w:pos="4536"/>
        <w:tab w:val="right" w:pos="9072"/>
      </w:tabs>
      <w:spacing w:before="0" w:after="0"/>
    </w:pPr>
  </w:style>
  <w:style w:type="character" w:customStyle="1" w:styleId="PieddepageCar">
    <w:name w:val="Pied de page Car"/>
    <w:basedOn w:val="Policepardfaut"/>
    <w:link w:val="Pieddepage"/>
    <w:uiPriority w:val="99"/>
    <w:rsid w:val="00C35065"/>
    <w:rPr>
      <w:rFonts w:ascii="Times New Roman" w:eastAsiaTheme="minorEastAsia" w:hAnsi="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88207">
      <w:bodyDiv w:val="1"/>
      <w:marLeft w:val="0"/>
      <w:marRight w:val="0"/>
      <w:marTop w:val="0"/>
      <w:marBottom w:val="0"/>
      <w:divBdr>
        <w:top w:val="none" w:sz="0" w:space="0" w:color="auto"/>
        <w:left w:val="none" w:sz="0" w:space="0" w:color="auto"/>
        <w:bottom w:val="none" w:sz="0" w:space="0" w:color="auto"/>
        <w:right w:val="none" w:sz="0" w:space="0" w:color="auto"/>
      </w:divBdr>
      <w:divsChild>
        <w:div w:id="803080123">
          <w:marLeft w:val="0"/>
          <w:marRight w:val="0"/>
          <w:marTop w:val="0"/>
          <w:marBottom w:val="0"/>
          <w:divBdr>
            <w:top w:val="none" w:sz="0" w:space="0" w:color="auto"/>
            <w:left w:val="none" w:sz="0" w:space="0" w:color="auto"/>
            <w:bottom w:val="none" w:sz="0" w:space="0" w:color="auto"/>
            <w:right w:val="none" w:sz="0" w:space="0" w:color="auto"/>
          </w:divBdr>
          <w:divsChild>
            <w:div w:id="487593897">
              <w:marLeft w:val="0"/>
              <w:marRight w:val="0"/>
              <w:marTop w:val="0"/>
              <w:marBottom w:val="0"/>
              <w:divBdr>
                <w:top w:val="none" w:sz="0" w:space="0" w:color="auto"/>
                <w:left w:val="none" w:sz="0" w:space="0" w:color="auto"/>
                <w:bottom w:val="none" w:sz="0" w:space="0" w:color="auto"/>
                <w:right w:val="none" w:sz="0" w:space="0" w:color="auto"/>
              </w:divBdr>
              <w:divsChild>
                <w:div w:id="353074389">
                  <w:marLeft w:val="0"/>
                  <w:marRight w:val="0"/>
                  <w:marTop w:val="0"/>
                  <w:marBottom w:val="0"/>
                  <w:divBdr>
                    <w:top w:val="none" w:sz="0" w:space="0" w:color="auto"/>
                    <w:left w:val="none" w:sz="0" w:space="0" w:color="auto"/>
                    <w:bottom w:val="none" w:sz="0" w:space="0" w:color="auto"/>
                    <w:right w:val="none" w:sz="0" w:space="0" w:color="auto"/>
                  </w:divBdr>
                  <w:divsChild>
                    <w:div w:id="52672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288889">
      <w:bodyDiv w:val="1"/>
      <w:marLeft w:val="0"/>
      <w:marRight w:val="0"/>
      <w:marTop w:val="0"/>
      <w:marBottom w:val="0"/>
      <w:divBdr>
        <w:top w:val="none" w:sz="0" w:space="0" w:color="auto"/>
        <w:left w:val="none" w:sz="0" w:space="0" w:color="auto"/>
        <w:bottom w:val="none" w:sz="0" w:space="0" w:color="auto"/>
        <w:right w:val="none" w:sz="0" w:space="0" w:color="auto"/>
      </w:divBdr>
      <w:divsChild>
        <w:div w:id="828519222">
          <w:marLeft w:val="0"/>
          <w:marRight w:val="0"/>
          <w:marTop w:val="0"/>
          <w:marBottom w:val="0"/>
          <w:divBdr>
            <w:top w:val="none" w:sz="0" w:space="0" w:color="auto"/>
            <w:left w:val="none" w:sz="0" w:space="0" w:color="auto"/>
            <w:bottom w:val="none" w:sz="0" w:space="0" w:color="auto"/>
            <w:right w:val="none" w:sz="0" w:space="0" w:color="auto"/>
          </w:divBdr>
          <w:divsChild>
            <w:div w:id="1534610328">
              <w:marLeft w:val="0"/>
              <w:marRight w:val="0"/>
              <w:marTop w:val="0"/>
              <w:marBottom w:val="0"/>
              <w:divBdr>
                <w:top w:val="none" w:sz="0" w:space="0" w:color="auto"/>
                <w:left w:val="none" w:sz="0" w:space="0" w:color="auto"/>
                <w:bottom w:val="none" w:sz="0" w:space="0" w:color="auto"/>
                <w:right w:val="none" w:sz="0" w:space="0" w:color="auto"/>
              </w:divBdr>
              <w:divsChild>
                <w:div w:id="112323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288364">
      <w:bodyDiv w:val="1"/>
      <w:marLeft w:val="0"/>
      <w:marRight w:val="0"/>
      <w:marTop w:val="0"/>
      <w:marBottom w:val="0"/>
      <w:divBdr>
        <w:top w:val="none" w:sz="0" w:space="0" w:color="auto"/>
        <w:left w:val="none" w:sz="0" w:space="0" w:color="auto"/>
        <w:bottom w:val="none" w:sz="0" w:space="0" w:color="auto"/>
        <w:right w:val="none" w:sz="0" w:space="0" w:color="auto"/>
      </w:divBdr>
      <w:divsChild>
        <w:div w:id="1723019165">
          <w:marLeft w:val="0"/>
          <w:marRight w:val="0"/>
          <w:marTop w:val="0"/>
          <w:marBottom w:val="0"/>
          <w:divBdr>
            <w:top w:val="none" w:sz="0" w:space="0" w:color="auto"/>
            <w:left w:val="none" w:sz="0" w:space="0" w:color="auto"/>
            <w:bottom w:val="none" w:sz="0" w:space="0" w:color="auto"/>
            <w:right w:val="none" w:sz="0" w:space="0" w:color="auto"/>
          </w:divBdr>
          <w:divsChild>
            <w:div w:id="1608461034">
              <w:marLeft w:val="0"/>
              <w:marRight w:val="0"/>
              <w:marTop w:val="0"/>
              <w:marBottom w:val="0"/>
              <w:divBdr>
                <w:top w:val="none" w:sz="0" w:space="0" w:color="auto"/>
                <w:left w:val="none" w:sz="0" w:space="0" w:color="auto"/>
                <w:bottom w:val="none" w:sz="0" w:space="0" w:color="auto"/>
                <w:right w:val="none" w:sz="0" w:space="0" w:color="auto"/>
              </w:divBdr>
              <w:divsChild>
                <w:div w:id="18467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779</Words>
  <Characters>4442</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c.albiges</dc:creator>
  <cp:lastModifiedBy>hp</cp:lastModifiedBy>
  <cp:revision>2</cp:revision>
  <dcterms:created xsi:type="dcterms:W3CDTF">2023-09-14T06:36:00Z</dcterms:created>
  <dcterms:modified xsi:type="dcterms:W3CDTF">2023-09-14T06:36:00Z</dcterms:modified>
</cp:coreProperties>
</file>