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B4DD" w14:textId="77777777" w:rsidR="00480182" w:rsidRPr="004657DE" w:rsidRDefault="00480182" w:rsidP="00480182">
      <w:pPr>
        <w:jc w:val="center"/>
        <w:outlineLvl w:val="0"/>
        <w:rPr>
          <w:rFonts w:ascii="Baskerville Old Face" w:hAnsi="Baskerville Old Face"/>
        </w:rPr>
      </w:pPr>
      <w:r w:rsidRPr="004657DE">
        <w:rPr>
          <w:rFonts w:ascii="Baskerville Old Face" w:hAnsi="Baskerville Old Face"/>
        </w:rPr>
        <w:t xml:space="preserve">Université </w:t>
      </w:r>
      <w:r w:rsidRPr="004657DE">
        <w:rPr>
          <w:rFonts w:ascii="Baskerville Old Face" w:hAnsi="Baskerville Old Face"/>
          <w:b/>
        </w:rPr>
        <w:t>PANTHEON-</w:t>
      </w:r>
      <w:r>
        <w:rPr>
          <w:rFonts w:ascii="Baskerville Old Face" w:hAnsi="Baskerville Old Face"/>
          <w:b/>
        </w:rPr>
        <w:t>SORBONNE</w:t>
      </w:r>
      <w:r w:rsidRPr="004657DE">
        <w:rPr>
          <w:rFonts w:ascii="Baskerville Old Face" w:hAnsi="Baskerville Old Face"/>
        </w:rPr>
        <w:t xml:space="preserve"> </w:t>
      </w:r>
      <w:r>
        <w:rPr>
          <w:rFonts w:ascii="Baskerville Old Face" w:hAnsi="Baskerville Old Face"/>
        </w:rPr>
        <w:t>–</w:t>
      </w:r>
      <w:r w:rsidRPr="004657DE">
        <w:rPr>
          <w:rFonts w:ascii="Baskerville Old Face" w:hAnsi="Baskerville Old Face"/>
        </w:rPr>
        <w:t xml:space="preserve"> </w:t>
      </w:r>
      <w:r>
        <w:rPr>
          <w:rFonts w:ascii="Baskerville Old Face" w:hAnsi="Baskerville Old Face"/>
        </w:rPr>
        <w:t>Ecole de droit de la Sorbonne au Caire</w:t>
      </w:r>
    </w:p>
    <w:p w14:paraId="75C463EA" w14:textId="77777777" w:rsidR="00480182" w:rsidRPr="004657DE" w:rsidRDefault="00480182" w:rsidP="00480182">
      <w:pPr>
        <w:jc w:val="center"/>
        <w:rPr>
          <w:rFonts w:ascii="Baskerville Old Face" w:hAnsi="Baskerville Old Face"/>
        </w:rPr>
      </w:pPr>
    </w:p>
    <w:p w14:paraId="0A39FBDA" w14:textId="77777777" w:rsidR="00480182" w:rsidRPr="004657DE" w:rsidRDefault="00480182" w:rsidP="00480182">
      <w:pPr>
        <w:jc w:val="center"/>
        <w:rPr>
          <w:rFonts w:ascii="Baskerville Old Face" w:hAnsi="Baskerville Old Face"/>
        </w:rPr>
      </w:pPr>
    </w:p>
    <w:p w14:paraId="6D7F86C6" w14:textId="77777777" w:rsidR="00480182" w:rsidRPr="004657DE" w:rsidRDefault="00480182" w:rsidP="00480182">
      <w:pPr>
        <w:jc w:val="center"/>
        <w:rPr>
          <w:rFonts w:ascii="Baskerville Old Face" w:hAnsi="Baskerville Old Face"/>
        </w:rPr>
      </w:pPr>
    </w:p>
    <w:p w14:paraId="50625D0E" w14:textId="77777777" w:rsidR="00480182" w:rsidRPr="004657DE" w:rsidRDefault="00480182" w:rsidP="00480182">
      <w:pPr>
        <w:outlineLvl w:val="0"/>
        <w:rPr>
          <w:rFonts w:ascii="Baskerville Old Face" w:hAnsi="Baskerville Old Face"/>
        </w:rPr>
      </w:pPr>
      <w:r w:rsidRPr="004657DE">
        <w:rPr>
          <w:rFonts w:ascii="Baskerville Old Face" w:hAnsi="Baskerville Old Face"/>
        </w:rPr>
        <w:t xml:space="preserve">Travaux dirigés - </w:t>
      </w:r>
      <w:r>
        <w:rPr>
          <w:rFonts w:ascii="Baskerville Old Face" w:hAnsi="Baskerville Old Face"/>
        </w:rPr>
        <w:t>1</w:t>
      </w:r>
      <w:r w:rsidRPr="004657DE">
        <w:rPr>
          <w:rFonts w:ascii="Baskerville Old Face" w:hAnsi="Baskerville Old Face"/>
        </w:rPr>
        <w:t>ème année de Licence de droit</w:t>
      </w:r>
    </w:p>
    <w:p w14:paraId="6898B721" w14:textId="77777777" w:rsidR="00480182" w:rsidRPr="004657DE" w:rsidRDefault="00480182" w:rsidP="00480182">
      <w:pPr>
        <w:rPr>
          <w:rFonts w:ascii="Baskerville Old Face" w:hAnsi="Baskerville Old Face"/>
        </w:rPr>
      </w:pPr>
      <w:r w:rsidRPr="004657DE">
        <w:rPr>
          <w:rFonts w:ascii="Baskerville Old Face" w:hAnsi="Baskerville Old Face"/>
        </w:rPr>
        <w:t>Droit pénal général</w:t>
      </w:r>
    </w:p>
    <w:p w14:paraId="45B64D0C" w14:textId="77777777" w:rsidR="00480182" w:rsidRPr="004657DE" w:rsidRDefault="00480182" w:rsidP="00480182">
      <w:pPr>
        <w:rPr>
          <w:rFonts w:ascii="Baskerville Old Face" w:hAnsi="Baskerville Old Face"/>
          <w:b/>
        </w:rPr>
      </w:pPr>
      <w:r w:rsidRPr="004657DE">
        <w:rPr>
          <w:rFonts w:ascii="Baskerville Old Face" w:hAnsi="Baskerville Old Face"/>
        </w:rPr>
        <w:t xml:space="preserve">Cours de </w:t>
      </w:r>
      <w:r w:rsidRPr="004657DE">
        <w:rPr>
          <w:rFonts w:ascii="Baskerville Old Face" w:hAnsi="Baskerville Old Face"/>
          <w:b/>
        </w:rPr>
        <w:t>Monsieur</w:t>
      </w:r>
      <w:r>
        <w:rPr>
          <w:rFonts w:ascii="Baskerville Old Face" w:hAnsi="Baskerville Old Face"/>
          <w:b/>
        </w:rPr>
        <w:t xml:space="preserve"> Frédéric</w:t>
      </w:r>
      <w:r w:rsidRPr="004657DE">
        <w:rPr>
          <w:rFonts w:ascii="Baskerville Old Face" w:hAnsi="Baskerville Old Face"/>
          <w:b/>
        </w:rPr>
        <w:t xml:space="preserve"> DEBOVE</w:t>
      </w:r>
    </w:p>
    <w:p w14:paraId="7DB699F3" w14:textId="77777777" w:rsidR="00480182" w:rsidRPr="004657DE" w:rsidRDefault="00480182" w:rsidP="00480182">
      <w:pPr>
        <w:rPr>
          <w:rFonts w:ascii="Baskerville Old Face" w:hAnsi="Baskerville Old Face"/>
        </w:rPr>
      </w:pPr>
    </w:p>
    <w:p w14:paraId="2B12804C" w14:textId="77777777" w:rsidR="003E3695" w:rsidRPr="00F464DB" w:rsidRDefault="003E3695" w:rsidP="003E3695"/>
    <w:p w14:paraId="7FD09E59" w14:textId="77777777" w:rsidR="003E3695" w:rsidRPr="00F464DB" w:rsidRDefault="003E3695" w:rsidP="003E3695"/>
    <w:p w14:paraId="0157CC20" w14:textId="77777777" w:rsidR="003E3695" w:rsidRPr="00F464DB" w:rsidRDefault="003E3695" w:rsidP="003E3695">
      <w:r w:rsidRPr="00F464DB">
        <w:t>--------------------------------------------------------</w:t>
      </w:r>
    </w:p>
    <w:p w14:paraId="203E8A9E" w14:textId="77777777" w:rsidR="003E3695" w:rsidRPr="00F464DB" w:rsidRDefault="003E3695" w:rsidP="003E3695"/>
    <w:p w14:paraId="1A58A293" w14:textId="77777777" w:rsidR="003E3695" w:rsidRPr="00F464DB" w:rsidRDefault="003E3695" w:rsidP="003E3695">
      <w:pPr>
        <w:outlineLvl w:val="0"/>
      </w:pPr>
      <w:r>
        <w:rPr>
          <w:u w:val="single"/>
        </w:rPr>
        <w:t>Mise en ligne</w:t>
      </w:r>
      <w:r>
        <w:t xml:space="preserve"> : à compter de mars 2026</w:t>
      </w:r>
      <w:r w:rsidRPr="00F464DB">
        <w:t>.</w:t>
      </w:r>
    </w:p>
    <w:p w14:paraId="556191D8" w14:textId="77777777" w:rsidR="003E3695" w:rsidRPr="00F464DB" w:rsidRDefault="003E3695" w:rsidP="003E3695"/>
    <w:p w14:paraId="1B24E2A6" w14:textId="77777777" w:rsidR="003E3695" w:rsidRPr="00F464DB" w:rsidRDefault="003E3695" w:rsidP="003E3695"/>
    <w:p w14:paraId="7117CDEC" w14:textId="77777777" w:rsidR="003E3695" w:rsidRPr="00F464DB" w:rsidRDefault="003E3695" w:rsidP="003E3695"/>
    <w:p w14:paraId="3943CBD9" w14:textId="77777777" w:rsidR="003E3695" w:rsidRPr="00F464DB" w:rsidRDefault="003E3695" w:rsidP="003E3695"/>
    <w:p w14:paraId="78F01A12" w14:textId="77777777" w:rsidR="003E3695" w:rsidRPr="00F464DB" w:rsidRDefault="003E3695" w:rsidP="003E3695">
      <w:pPr>
        <w:pBdr>
          <w:top w:val="single" w:sz="6" w:space="0" w:color="auto" w:shadow="1"/>
          <w:left w:val="single" w:sz="6" w:space="0" w:color="auto" w:shadow="1"/>
          <w:bottom w:val="single" w:sz="6" w:space="0" w:color="auto" w:shadow="1"/>
          <w:right w:val="single" w:sz="6" w:space="0" w:color="auto" w:shadow="1"/>
        </w:pBdr>
        <w:ind w:left="1660" w:right="1678"/>
        <w:jc w:val="center"/>
      </w:pPr>
    </w:p>
    <w:p w14:paraId="2E25275E" w14:textId="18255898" w:rsidR="003E3695" w:rsidRPr="00F464DB" w:rsidRDefault="003E3695" w:rsidP="003E3695">
      <w:pPr>
        <w:pBdr>
          <w:top w:val="single" w:sz="6" w:space="0" w:color="auto" w:shadow="1"/>
          <w:left w:val="single" w:sz="6" w:space="0" w:color="auto" w:shadow="1"/>
          <w:bottom w:val="single" w:sz="6" w:space="0" w:color="auto" w:shadow="1"/>
          <w:right w:val="single" w:sz="6" w:space="0" w:color="auto" w:shadow="1"/>
        </w:pBdr>
        <w:ind w:left="1660" w:right="1678"/>
        <w:jc w:val="center"/>
        <w:rPr>
          <w:b/>
        </w:rPr>
      </w:pPr>
      <w:r>
        <w:rPr>
          <w:b/>
        </w:rPr>
        <w:t>7</w:t>
      </w:r>
      <w:r w:rsidRPr="00C227A0">
        <w:rPr>
          <w:b/>
          <w:vertAlign w:val="superscript"/>
        </w:rPr>
        <w:t>ème</w:t>
      </w:r>
      <w:r>
        <w:rPr>
          <w:b/>
        </w:rPr>
        <w:t xml:space="preserve"> et 9ème</w:t>
      </w:r>
      <w:r w:rsidRPr="00F464DB">
        <w:rPr>
          <w:b/>
        </w:rPr>
        <w:t xml:space="preserve"> séance</w:t>
      </w:r>
      <w:r>
        <w:rPr>
          <w:b/>
        </w:rPr>
        <w:t>s</w:t>
      </w:r>
    </w:p>
    <w:p w14:paraId="6263FA51" w14:textId="77777777" w:rsidR="003E3695" w:rsidRPr="00F464DB" w:rsidRDefault="003E3695" w:rsidP="003E3695">
      <w:pPr>
        <w:pBdr>
          <w:top w:val="single" w:sz="6" w:space="0" w:color="auto" w:shadow="1"/>
          <w:left w:val="single" w:sz="6" w:space="0" w:color="auto" w:shadow="1"/>
          <w:bottom w:val="single" w:sz="6" w:space="0" w:color="auto" w:shadow="1"/>
          <w:right w:val="single" w:sz="6" w:space="0" w:color="auto" w:shadow="1"/>
        </w:pBdr>
        <w:ind w:left="1660" w:right="1678"/>
        <w:jc w:val="center"/>
      </w:pPr>
    </w:p>
    <w:p w14:paraId="3086E5F8" w14:textId="77777777" w:rsidR="003E3695" w:rsidRPr="00F464DB" w:rsidRDefault="003E3695" w:rsidP="003E3695"/>
    <w:p w14:paraId="42312E30" w14:textId="77777777" w:rsidR="003E3695" w:rsidRPr="00F464DB" w:rsidRDefault="003E3695" w:rsidP="003E3695"/>
    <w:p w14:paraId="73C5D222" w14:textId="77777777" w:rsidR="003E3695" w:rsidRPr="00F464DB" w:rsidRDefault="003E3695" w:rsidP="003E3695"/>
    <w:p w14:paraId="071B555F" w14:textId="77777777" w:rsidR="003E3695" w:rsidRPr="00F464DB" w:rsidRDefault="003E3695" w:rsidP="003E3695"/>
    <w:p w14:paraId="3EA6CA18" w14:textId="77777777" w:rsidR="003E3695" w:rsidRPr="00F464DB" w:rsidRDefault="003E3695" w:rsidP="003E3695">
      <w:r w:rsidRPr="00F464DB">
        <w:t>Les étudiants devront :</w:t>
      </w:r>
    </w:p>
    <w:p w14:paraId="1FA3D77B" w14:textId="77777777" w:rsidR="003E3695" w:rsidRPr="00F464DB" w:rsidRDefault="003E3695" w:rsidP="003E3695"/>
    <w:p w14:paraId="6B8E5E93" w14:textId="6E6A7A8D" w:rsidR="003E3695" w:rsidRDefault="003E3695" w:rsidP="003E3695">
      <w:pPr>
        <w:jc w:val="both"/>
        <w:rPr>
          <w:b/>
        </w:rPr>
      </w:pPr>
      <w:r w:rsidRPr="00F464DB">
        <w:rPr>
          <w:b/>
        </w:rPr>
        <w:t xml:space="preserve">1°) Revoir les développements consacrés </w:t>
      </w:r>
      <w:r>
        <w:rPr>
          <w:b/>
        </w:rPr>
        <w:t>aux causes objectives d’irresponsabilité pénale (séance n°7)</w:t>
      </w:r>
    </w:p>
    <w:p w14:paraId="4FCF25E3" w14:textId="77777777" w:rsidR="003E3695" w:rsidRPr="00F464DB" w:rsidRDefault="003E3695" w:rsidP="003E3695">
      <w:pPr>
        <w:jc w:val="both"/>
        <w:rPr>
          <w:b/>
        </w:rPr>
      </w:pPr>
    </w:p>
    <w:p w14:paraId="58ED524D" w14:textId="5ADB70EE" w:rsidR="003E3695" w:rsidRPr="00F464DB" w:rsidRDefault="003E3695" w:rsidP="003E3695">
      <w:pPr>
        <w:rPr>
          <w:b/>
        </w:rPr>
      </w:pPr>
      <w:r w:rsidRPr="00F464DB">
        <w:rPr>
          <w:b/>
        </w:rPr>
        <w:t>2°) Rédiger un</w:t>
      </w:r>
      <w:r>
        <w:rPr>
          <w:b/>
        </w:rPr>
        <w:t>e note</w:t>
      </w:r>
      <w:r w:rsidRPr="00F464DB">
        <w:rPr>
          <w:b/>
        </w:rPr>
        <w:t xml:space="preserve"> d’arrêt sur</w:t>
      </w:r>
      <w:r>
        <w:rPr>
          <w:b/>
        </w:rPr>
        <w:t xml:space="preserve"> la décision suivante (séance n°7)</w:t>
      </w:r>
      <w:r w:rsidRPr="00F464DB">
        <w:rPr>
          <w:b/>
        </w:rPr>
        <w:t xml:space="preserve"> :</w:t>
      </w:r>
    </w:p>
    <w:p w14:paraId="237B2FD6" w14:textId="77777777" w:rsidR="003E3695" w:rsidRPr="00F464DB" w:rsidRDefault="003E3695" w:rsidP="003E3695">
      <w:pPr>
        <w:rPr>
          <w:b/>
        </w:rPr>
      </w:pPr>
    </w:p>
    <w:p w14:paraId="47E6F2BE" w14:textId="77777777" w:rsidR="003E3695" w:rsidRDefault="003E3695" w:rsidP="003E3695">
      <w:pPr>
        <w:numPr>
          <w:ilvl w:val="0"/>
          <w:numId w:val="1"/>
        </w:numPr>
        <w:jc w:val="both"/>
      </w:pPr>
      <w:r w:rsidRPr="00F464DB">
        <w:t>C</w:t>
      </w:r>
      <w:r>
        <w:t>rim., 6 octobre 2021, pourvoi n°21-84.295 (doc.1)</w:t>
      </w:r>
    </w:p>
    <w:p w14:paraId="01FB403D" w14:textId="77777777" w:rsidR="003E3695" w:rsidRDefault="003E3695" w:rsidP="003E3695">
      <w:pPr>
        <w:jc w:val="both"/>
      </w:pPr>
    </w:p>
    <w:p w14:paraId="1EDC1624" w14:textId="191FCA91" w:rsidR="003E3695" w:rsidRPr="00F464DB" w:rsidRDefault="003E3695" w:rsidP="003E3695">
      <w:pPr>
        <w:pStyle w:val="Corpsdetexte"/>
        <w:rPr>
          <w:rFonts w:ascii="Times" w:hAnsi="Times"/>
        </w:rPr>
      </w:pPr>
      <w:r w:rsidRPr="00F464DB">
        <w:rPr>
          <w:rFonts w:ascii="Times" w:hAnsi="Times"/>
        </w:rPr>
        <w:t>3°) Résoudre le</w:t>
      </w:r>
      <w:r>
        <w:rPr>
          <w:rFonts w:ascii="Times" w:hAnsi="Times"/>
        </w:rPr>
        <w:t>s</w:t>
      </w:r>
      <w:r w:rsidRPr="00F464DB">
        <w:rPr>
          <w:rFonts w:ascii="Times" w:hAnsi="Times"/>
        </w:rPr>
        <w:t xml:space="preserve"> cas pratique</w:t>
      </w:r>
      <w:r>
        <w:rPr>
          <w:rFonts w:ascii="Times" w:hAnsi="Times"/>
        </w:rPr>
        <w:t>s</w:t>
      </w:r>
      <w:r w:rsidRPr="00F464DB">
        <w:rPr>
          <w:rFonts w:ascii="Times" w:hAnsi="Times"/>
        </w:rPr>
        <w:t xml:space="preserve"> suivant</w:t>
      </w:r>
      <w:r>
        <w:rPr>
          <w:rFonts w:ascii="Times" w:hAnsi="Times"/>
        </w:rPr>
        <w:t>s (séance n°7)</w:t>
      </w:r>
      <w:r w:rsidRPr="00F464DB">
        <w:rPr>
          <w:rFonts w:ascii="Times" w:hAnsi="Times"/>
        </w:rPr>
        <w:t xml:space="preserve"> :</w:t>
      </w:r>
    </w:p>
    <w:p w14:paraId="7C4A1C79" w14:textId="77777777" w:rsidR="003E3695" w:rsidRDefault="003E3695" w:rsidP="003E3695">
      <w:pPr>
        <w:jc w:val="both"/>
      </w:pPr>
    </w:p>
    <w:p w14:paraId="4233440B" w14:textId="77777777" w:rsidR="003E3695" w:rsidRDefault="003E3695" w:rsidP="003E3695">
      <w:pPr>
        <w:pStyle w:val="Corpsdetexte"/>
        <w:rPr>
          <w:rFonts w:ascii="`E0_ò" w:hAnsi="`E0_ò" w:cs="`E0_ò"/>
          <w:sz w:val="20"/>
          <w:szCs w:val="20"/>
        </w:rPr>
      </w:pPr>
      <w:r w:rsidRPr="00375752">
        <w:rPr>
          <w:rFonts w:ascii="Times" w:hAnsi="Times"/>
          <w:b w:val="0"/>
          <w:bCs/>
        </w:rPr>
        <w:t xml:space="preserve">Le 5 </w:t>
      </w:r>
      <w:r>
        <w:rPr>
          <w:rFonts w:ascii="Times" w:hAnsi="Times"/>
          <w:b w:val="0"/>
          <w:bCs/>
        </w:rPr>
        <w:t>mai 2024</w:t>
      </w:r>
      <w:r w:rsidRPr="00375752">
        <w:rPr>
          <w:rFonts w:ascii="Times" w:hAnsi="Times"/>
          <w:b w:val="0"/>
          <w:bCs/>
        </w:rPr>
        <w:t xml:space="preserve">, Mme </w:t>
      </w:r>
      <w:r>
        <w:rPr>
          <w:rFonts w:ascii="Times" w:hAnsi="Times"/>
          <w:b w:val="0"/>
          <w:bCs/>
        </w:rPr>
        <w:t>X.</w:t>
      </w:r>
      <w:r w:rsidRPr="00375752">
        <w:rPr>
          <w:rFonts w:ascii="Times" w:hAnsi="Times"/>
          <w:b w:val="0"/>
          <w:bCs/>
        </w:rPr>
        <w:t xml:space="preserve"> s'est présentée </w:t>
      </w:r>
      <w:r>
        <w:rPr>
          <w:rFonts w:ascii="Times" w:hAnsi="Times"/>
          <w:b w:val="0"/>
          <w:bCs/>
        </w:rPr>
        <w:t>dans la boutique officielle du club de football « PSG »</w:t>
      </w:r>
      <w:r w:rsidRPr="00375752">
        <w:rPr>
          <w:rFonts w:ascii="Times" w:hAnsi="Times"/>
          <w:b w:val="0"/>
          <w:bCs/>
        </w:rPr>
        <w:t>,</w:t>
      </w:r>
      <w:r>
        <w:rPr>
          <w:rFonts w:ascii="Times" w:hAnsi="Times"/>
          <w:b w:val="0"/>
          <w:bCs/>
        </w:rPr>
        <w:t xml:space="preserve"> près du parc des princes à Paris.</w:t>
      </w:r>
      <w:r w:rsidRPr="00375752">
        <w:rPr>
          <w:rFonts w:ascii="Times" w:hAnsi="Times"/>
          <w:b w:val="0"/>
          <w:bCs/>
        </w:rPr>
        <w:t xml:space="preserve"> Elle a dévêtu le haut de son corps, révélant sa poitrine nue,</w:t>
      </w:r>
      <w:r>
        <w:rPr>
          <w:rFonts w:ascii="Times" w:hAnsi="Times"/>
          <w:b w:val="0"/>
          <w:bCs/>
        </w:rPr>
        <w:t xml:space="preserve"> </w:t>
      </w:r>
      <w:r w:rsidRPr="00375752">
        <w:rPr>
          <w:rFonts w:ascii="Times" w:hAnsi="Times"/>
          <w:b w:val="0"/>
          <w:bCs/>
        </w:rPr>
        <w:t>portant l'inscription : "</w:t>
      </w:r>
      <w:r w:rsidRPr="00375752">
        <w:rPr>
          <w:rFonts w:ascii="Times" w:hAnsi="Times"/>
          <w:b w:val="0"/>
          <w:bCs/>
          <w:i/>
          <w:iCs/>
        </w:rPr>
        <w:t>Kill Qatar</w:t>
      </w:r>
      <w:r w:rsidRPr="00375752">
        <w:rPr>
          <w:rFonts w:ascii="Times" w:hAnsi="Times"/>
          <w:b w:val="0"/>
          <w:bCs/>
        </w:rPr>
        <w:t xml:space="preserve">". Elle a fait tomber la statue du </w:t>
      </w:r>
      <w:r>
        <w:rPr>
          <w:rFonts w:ascii="Times" w:hAnsi="Times"/>
          <w:b w:val="0"/>
          <w:bCs/>
        </w:rPr>
        <w:t>joueur de football Kylian MBappé, attaquant vedette du Paris-Saint-Germain,</w:t>
      </w:r>
      <w:r w:rsidRPr="00375752">
        <w:rPr>
          <w:rFonts w:ascii="Times" w:hAnsi="Times"/>
          <w:b w:val="0"/>
          <w:bCs/>
        </w:rPr>
        <w:t xml:space="preserve"> dans laquelle elle a planté à</w:t>
      </w:r>
      <w:r>
        <w:rPr>
          <w:rFonts w:ascii="Times" w:hAnsi="Times"/>
          <w:b w:val="0"/>
          <w:bCs/>
        </w:rPr>
        <w:t xml:space="preserve"> </w:t>
      </w:r>
      <w:r w:rsidRPr="00375752">
        <w:rPr>
          <w:rFonts w:ascii="Times" w:hAnsi="Times"/>
          <w:b w:val="0"/>
          <w:bCs/>
        </w:rPr>
        <w:t>plusieurs reprises un pieu métallique pour partie peint en rouge, en déclarant : "</w:t>
      </w:r>
      <w:r w:rsidRPr="00375752">
        <w:rPr>
          <w:rFonts w:ascii="Times" w:hAnsi="Times"/>
          <w:b w:val="0"/>
          <w:bCs/>
          <w:i/>
          <w:iCs/>
        </w:rPr>
        <w:t>fuck Money, fuck Qatar</w:t>
      </w:r>
      <w:r w:rsidRPr="00375752">
        <w:rPr>
          <w:rFonts w:ascii="Times" w:hAnsi="Times"/>
          <w:b w:val="0"/>
          <w:bCs/>
        </w:rPr>
        <w:t>". Elle</w:t>
      </w:r>
      <w:r>
        <w:rPr>
          <w:rFonts w:ascii="Times" w:hAnsi="Times"/>
          <w:b w:val="0"/>
          <w:bCs/>
        </w:rPr>
        <w:t xml:space="preserve"> </w:t>
      </w:r>
      <w:r w:rsidRPr="00375752">
        <w:rPr>
          <w:rFonts w:ascii="Times" w:hAnsi="Times"/>
          <w:b w:val="0"/>
          <w:bCs/>
        </w:rPr>
        <w:t>a été interpellée et a revendiqué son appartenance au mouvement dit "Femen", donnant à son geste le caractère d'une</w:t>
      </w:r>
      <w:r>
        <w:rPr>
          <w:rFonts w:ascii="Times" w:hAnsi="Times"/>
          <w:b w:val="0"/>
          <w:bCs/>
        </w:rPr>
        <w:t xml:space="preserve"> </w:t>
      </w:r>
      <w:r w:rsidRPr="00375752">
        <w:rPr>
          <w:rFonts w:ascii="Times" w:hAnsi="Times"/>
          <w:b w:val="0"/>
          <w:bCs/>
        </w:rPr>
        <w:t>protestation politique.</w:t>
      </w:r>
      <w:r>
        <w:rPr>
          <w:rFonts w:ascii="Times" w:hAnsi="Times"/>
          <w:b w:val="0"/>
          <w:bCs/>
        </w:rPr>
        <w:t xml:space="preserve"> </w:t>
      </w:r>
      <w:r w:rsidRPr="00375752">
        <w:rPr>
          <w:rFonts w:ascii="Times" w:hAnsi="Times"/>
          <w:b w:val="0"/>
          <w:bCs/>
        </w:rPr>
        <w:t>Elle a été poursuivie devant le tribunal correctionnel</w:t>
      </w:r>
      <w:r>
        <w:rPr>
          <w:rFonts w:ascii="Times" w:hAnsi="Times"/>
          <w:b w:val="0"/>
          <w:bCs/>
        </w:rPr>
        <w:t xml:space="preserve"> de Paris</w:t>
      </w:r>
      <w:r w:rsidRPr="00375752">
        <w:rPr>
          <w:rFonts w:ascii="Times" w:hAnsi="Times"/>
          <w:b w:val="0"/>
          <w:bCs/>
        </w:rPr>
        <w:t xml:space="preserve"> pour exhibition sexuelle et dégradations volontaires du bien</w:t>
      </w:r>
      <w:r>
        <w:rPr>
          <w:rFonts w:ascii="Times" w:hAnsi="Times"/>
          <w:b w:val="0"/>
          <w:bCs/>
        </w:rPr>
        <w:t xml:space="preserve"> </w:t>
      </w:r>
      <w:r w:rsidRPr="00375752">
        <w:rPr>
          <w:rFonts w:ascii="Times" w:hAnsi="Times"/>
          <w:b w:val="0"/>
          <w:bCs/>
        </w:rPr>
        <w:t xml:space="preserve">d'autrui. Par jugement du 15 </w:t>
      </w:r>
      <w:r>
        <w:rPr>
          <w:rFonts w:ascii="Times" w:hAnsi="Times"/>
          <w:b w:val="0"/>
          <w:bCs/>
        </w:rPr>
        <w:t>novembre</w:t>
      </w:r>
      <w:r w:rsidRPr="00375752">
        <w:rPr>
          <w:rFonts w:ascii="Times" w:hAnsi="Times"/>
          <w:b w:val="0"/>
          <w:bCs/>
        </w:rPr>
        <w:t xml:space="preserve"> 20</w:t>
      </w:r>
      <w:r>
        <w:rPr>
          <w:rFonts w:ascii="Times" w:hAnsi="Times"/>
          <w:b w:val="0"/>
          <w:bCs/>
        </w:rPr>
        <w:t>24</w:t>
      </w:r>
      <w:r w:rsidRPr="00375752">
        <w:rPr>
          <w:rFonts w:ascii="Times" w:hAnsi="Times"/>
          <w:b w:val="0"/>
          <w:bCs/>
        </w:rPr>
        <w:t>, le tribunal correctionnel de Paris l'a déclarée coupable de ces deux délits, l'a</w:t>
      </w:r>
      <w:r>
        <w:rPr>
          <w:rFonts w:ascii="Times" w:hAnsi="Times"/>
          <w:b w:val="0"/>
          <w:bCs/>
        </w:rPr>
        <w:t xml:space="preserve"> </w:t>
      </w:r>
      <w:r w:rsidRPr="00375752">
        <w:rPr>
          <w:rFonts w:ascii="Times" w:hAnsi="Times"/>
          <w:b w:val="0"/>
          <w:bCs/>
        </w:rPr>
        <w:t xml:space="preserve">condamnée à une amende de </w:t>
      </w:r>
      <w:r>
        <w:rPr>
          <w:rFonts w:ascii="Times" w:hAnsi="Times"/>
          <w:b w:val="0"/>
          <w:bCs/>
        </w:rPr>
        <w:t>3.000</w:t>
      </w:r>
      <w:r w:rsidRPr="00375752">
        <w:rPr>
          <w:rFonts w:ascii="Times" w:hAnsi="Times"/>
          <w:b w:val="0"/>
          <w:bCs/>
        </w:rPr>
        <w:t xml:space="preserve"> euros et prononcé sur les intérêts civils. La prévenue </w:t>
      </w:r>
      <w:r>
        <w:rPr>
          <w:rFonts w:ascii="Times" w:hAnsi="Times"/>
          <w:b w:val="0"/>
          <w:bCs/>
        </w:rPr>
        <w:t xml:space="preserve">a relevé </w:t>
      </w:r>
      <w:r w:rsidRPr="00375752">
        <w:rPr>
          <w:rFonts w:ascii="Times" w:hAnsi="Times"/>
          <w:b w:val="0"/>
          <w:bCs/>
        </w:rPr>
        <w:t>appel de ce jugement</w:t>
      </w:r>
      <w:r>
        <w:rPr>
          <w:rFonts w:ascii="Times" w:hAnsi="Times"/>
          <w:b w:val="0"/>
          <w:bCs/>
        </w:rPr>
        <w:t xml:space="preserve"> aux motifs que les agissements pour lesquels elle a été condamnée ont été accomplis au soutien de sa liberté d’expression. Que pensez-vous de ce moyen de défense ?</w:t>
      </w:r>
      <w:r w:rsidRPr="00375752">
        <w:rPr>
          <w:rFonts w:ascii="`E0_ò" w:hAnsi="`E0_ò" w:cs="`E0_ò"/>
          <w:sz w:val="20"/>
          <w:szCs w:val="20"/>
        </w:rPr>
        <w:t xml:space="preserve"> </w:t>
      </w:r>
    </w:p>
    <w:p w14:paraId="43C63E07" w14:textId="77777777" w:rsidR="003E3695" w:rsidRDefault="003E3695" w:rsidP="003E3695">
      <w:pPr>
        <w:pStyle w:val="Corpsdetexte"/>
        <w:rPr>
          <w:rFonts w:ascii="`E0_ò" w:hAnsi="`E0_ò" w:cs="`E0_ò"/>
          <w:sz w:val="20"/>
          <w:szCs w:val="20"/>
        </w:rPr>
      </w:pPr>
    </w:p>
    <w:p w14:paraId="274658D4" w14:textId="77777777" w:rsidR="003E3695" w:rsidRPr="00592834" w:rsidRDefault="003E3695" w:rsidP="003E3695">
      <w:pPr>
        <w:pStyle w:val="Corpsdetexte"/>
        <w:rPr>
          <w:rFonts w:ascii="Times" w:hAnsi="Times"/>
          <w:b w:val="0"/>
          <w:bCs/>
        </w:rPr>
      </w:pPr>
      <w:r w:rsidRPr="00592834">
        <w:rPr>
          <w:rFonts w:ascii="Times" w:hAnsi="Times"/>
          <w:b w:val="0"/>
          <w:bCs/>
        </w:rPr>
        <w:lastRenderedPageBreak/>
        <w:t>Fred, le cousin de Jean Thémis, ne décolère pas. Joaillier de réputation internationale, Fred est le propriétaire d'une bijouterie située à Nice. Pour des raisons évidentes de sécurité, Fred avait obtenu du précédent maire qu'une zone de livraison lui soit réservée à proximité immédiate de son commerce. Toutefois, depuis le changement de majorité municipale, la priorité est donnée aux pistes cyclables et les livreurs sont priés de décharger leurs marchandises dans une impasse située à deux cents mètres de là. Compte tenu de l'insécurité notoire de cette impasse et de la recrudescence des braquages et autres agressions, Fred considère qu'il n'a pas d'autre ressource pour exercer sereinement sa profession que de faire stationner son véhicule commercial sur la piste cyclable le temps de la livraison des bijoux. Il y a quelques jours, ce véhicule a été verbalisé pour stationnement irrégulier par les services de police. Fred entend contester le procès-verbal pour les raisons exposées ci-dessus. Son argumentation vous paraît-elle pertinente ?</w:t>
      </w:r>
    </w:p>
    <w:p w14:paraId="50CA7F07" w14:textId="77777777" w:rsidR="003E3695" w:rsidRDefault="003E3695" w:rsidP="003E3695">
      <w:pPr>
        <w:pStyle w:val="Corpsdetexte"/>
        <w:rPr>
          <w:rFonts w:ascii="`E0_ò" w:hAnsi="`E0_ò" w:cs="`E0_ò"/>
          <w:sz w:val="20"/>
          <w:szCs w:val="20"/>
        </w:rPr>
      </w:pPr>
    </w:p>
    <w:p w14:paraId="03780A5C" w14:textId="77777777" w:rsidR="003E3695" w:rsidRDefault="003E3695" w:rsidP="003E3695">
      <w:pPr>
        <w:pStyle w:val="Corpsdetexte"/>
        <w:rPr>
          <w:rFonts w:ascii="`E0_ò" w:hAnsi="`E0_ò" w:cs="`E0_ò"/>
          <w:sz w:val="20"/>
          <w:szCs w:val="20"/>
        </w:rPr>
      </w:pPr>
    </w:p>
    <w:p w14:paraId="2F322498" w14:textId="5C1B1DC8" w:rsidR="003E3695" w:rsidRDefault="003E3695" w:rsidP="003E3695">
      <w:pPr>
        <w:jc w:val="both"/>
        <w:rPr>
          <w:b/>
        </w:rPr>
      </w:pPr>
      <w:r>
        <w:rPr>
          <w:b/>
        </w:rPr>
        <w:t>4</w:t>
      </w:r>
      <w:r w:rsidRPr="00F464DB">
        <w:rPr>
          <w:b/>
        </w:rPr>
        <w:t xml:space="preserve">°) Revoir les développements consacrés </w:t>
      </w:r>
      <w:r>
        <w:rPr>
          <w:b/>
        </w:rPr>
        <w:t>aux causes subjectives d’irresponsabilité pénale (séance n°9)</w:t>
      </w:r>
    </w:p>
    <w:p w14:paraId="31B2A566" w14:textId="77777777" w:rsidR="003E3695" w:rsidRPr="00375752" w:rsidRDefault="003E3695" w:rsidP="003E3695">
      <w:pPr>
        <w:pStyle w:val="Corpsdetexte"/>
        <w:rPr>
          <w:rFonts w:ascii="Times" w:hAnsi="Times"/>
          <w:b w:val="0"/>
        </w:rPr>
      </w:pPr>
    </w:p>
    <w:p w14:paraId="2D800D27" w14:textId="004E0F49" w:rsidR="003E3695" w:rsidRPr="009E1CB8" w:rsidRDefault="003E3695" w:rsidP="003E3695">
      <w:pPr>
        <w:jc w:val="both"/>
        <w:rPr>
          <w:b/>
          <w:bCs/>
        </w:rPr>
      </w:pPr>
      <w:r>
        <w:t>5</w:t>
      </w:r>
      <w:r w:rsidRPr="009E1CB8">
        <w:rPr>
          <w:b/>
          <w:bCs/>
        </w:rPr>
        <w:t>°</w:t>
      </w:r>
      <w:r>
        <w:rPr>
          <w:b/>
          <w:bCs/>
        </w:rPr>
        <w:t>)</w:t>
      </w:r>
      <w:r w:rsidRPr="009E1CB8">
        <w:rPr>
          <w:b/>
          <w:bCs/>
        </w:rPr>
        <w:t xml:space="preserve"> Analyser les apports </w:t>
      </w:r>
      <w:r>
        <w:rPr>
          <w:b/>
          <w:bCs/>
        </w:rPr>
        <w:t>de la loi n° 2022-52 du 24 janvier 2022 relative à la responsabilité pénale et à la sécurité intérieure</w:t>
      </w:r>
      <w:r w:rsidRPr="009E1CB8">
        <w:rPr>
          <w:b/>
          <w:bCs/>
        </w:rPr>
        <w:t xml:space="preserve"> </w:t>
      </w:r>
      <w:r>
        <w:rPr>
          <w:b/>
          <w:bCs/>
        </w:rPr>
        <w:t>dans ses dispositions se rapportant à l’irresponsabilité pénale pour cause de trouble mental (doc.2, séance n°9)</w:t>
      </w:r>
    </w:p>
    <w:p w14:paraId="24855581" w14:textId="77777777" w:rsidR="003E3695" w:rsidRDefault="003E3695" w:rsidP="003E3695"/>
    <w:p w14:paraId="2A2E0284" w14:textId="770A92DD" w:rsidR="003E3695" w:rsidRDefault="003E3695" w:rsidP="003E3695">
      <w:pPr>
        <w:pStyle w:val="Corpsdetexte"/>
        <w:rPr>
          <w:rFonts w:ascii="Times" w:hAnsi="Times"/>
        </w:rPr>
      </w:pPr>
      <w:r>
        <w:rPr>
          <w:rFonts w:ascii="Times" w:hAnsi="Times"/>
        </w:rPr>
        <w:t>6</w:t>
      </w:r>
      <w:r w:rsidRPr="00F464DB">
        <w:rPr>
          <w:rFonts w:ascii="Times" w:hAnsi="Times"/>
        </w:rPr>
        <w:t>°) Résoudre le</w:t>
      </w:r>
      <w:r>
        <w:rPr>
          <w:rFonts w:ascii="Times" w:hAnsi="Times"/>
        </w:rPr>
        <w:t>s</w:t>
      </w:r>
      <w:r w:rsidRPr="00F464DB">
        <w:rPr>
          <w:rFonts w:ascii="Times" w:hAnsi="Times"/>
        </w:rPr>
        <w:t xml:space="preserve"> cas pratique</w:t>
      </w:r>
      <w:r>
        <w:rPr>
          <w:rFonts w:ascii="Times" w:hAnsi="Times"/>
        </w:rPr>
        <w:t>s</w:t>
      </w:r>
      <w:r w:rsidRPr="00F464DB">
        <w:rPr>
          <w:rFonts w:ascii="Times" w:hAnsi="Times"/>
        </w:rPr>
        <w:t xml:space="preserve"> suivant</w:t>
      </w:r>
      <w:r>
        <w:rPr>
          <w:rFonts w:ascii="Times" w:hAnsi="Times"/>
        </w:rPr>
        <w:t>s (séance n°9)</w:t>
      </w:r>
      <w:r w:rsidRPr="00F464DB">
        <w:rPr>
          <w:rFonts w:ascii="Times" w:hAnsi="Times"/>
        </w:rPr>
        <w:t xml:space="preserve"> :</w:t>
      </w:r>
    </w:p>
    <w:p w14:paraId="422354D3" w14:textId="77777777" w:rsidR="003E3695" w:rsidRDefault="003E3695" w:rsidP="003E3695">
      <w:pPr>
        <w:pStyle w:val="Corpsdetexte"/>
        <w:rPr>
          <w:rFonts w:ascii="Times" w:hAnsi="Times"/>
        </w:rPr>
      </w:pPr>
    </w:p>
    <w:p w14:paraId="6079F872" w14:textId="77777777" w:rsidR="003E3695" w:rsidRPr="00E8228A" w:rsidRDefault="003E3695" w:rsidP="003E3695">
      <w:pPr>
        <w:jc w:val="both"/>
      </w:pPr>
      <w:r w:rsidRPr="00E8228A">
        <w:t>Le 4 avril 201</w:t>
      </w:r>
      <w:r>
        <w:t>9</w:t>
      </w:r>
      <w:r w:rsidRPr="00E8228A">
        <w:t xml:space="preserve"> à 5 heures 35, des fonctionnaires de police du 11ème arrondissement de Paris sont intervenus au domicile de la famille </w:t>
      </w:r>
      <w:proofErr w:type="gramStart"/>
      <w:r w:rsidRPr="00E8228A">
        <w:t>P...</w:t>
      </w:r>
      <w:proofErr w:type="gramEnd"/>
      <w:r w:rsidRPr="00E8228A">
        <w:t xml:space="preserve">, [...], à la suite d’un appel téléphonique avertissant que cette famille était victime d’une séquestration. Après avoir forcé la porte, les policiers ont interpellé M. H... </w:t>
      </w:r>
      <w:proofErr w:type="gramStart"/>
      <w:r w:rsidRPr="00E8228A">
        <w:t>Z...</w:t>
      </w:r>
      <w:proofErr w:type="gramEnd"/>
      <w:r w:rsidRPr="00E8228A">
        <w:t xml:space="preserve"> dans la pièce principale, en train de réciter des versets du Coran.</w:t>
      </w:r>
    </w:p>
    <w:p w14:paraId="423D066E" w14:textId="77777777" w:rsidR="003E3695" w:rsidRPr="00E8228A" w:rsidRDefault="003E3695" w:rsidP="003E3695">
      <w:pPr>
        <w:jc w:val="both"/>
      </w:pPr>
      <w:r w:rsidRPr="00E8228A">
        <w:t xml:space="preserve">Dans le même temps, les policiers ont découvert le corps sans vie d’une femme, Mme J... </w:t>
      </w:r>
      <w:proofErr w:type="gramStart"/>
      <w:r w:rsidRPr="00E8228A">
        <w:t>X...</w:t>
      </w:r>
      <w:proofErr w:type="gramEnd"/>
      <w:r w:rsidRPr="00E8228A">
        <w:t xml:space="preserve"> née Y.... Les premiers éléments ont montré qu’elle était tombée du balcon d’un appartement situé dans l’immeuble contigu.</w:t>
      </w:r>
    </w:p>
    <w:p w14:paraId="3A2C7BB5" w14:textId="77777777" w:rsidR="003E3695" w:rsidRPr="00E8228A" w:rsidRDefault="003E3695" w:rsidP="003E3695">
      <w:pPr>
        <w:jc w:val="both"/>
      </w:pPr>
      <w:r w:rsidRPr="00E8228A">
        <w:t>Une information judiciaire a été ouverte le 14 avril 201</w:t>
      </w:r>
      <w:r>
        <w:t>9</w:t>
      </w:r>
      <w:r w:rsidRPr="00E8228A">
        <w:t xml:space="preserve"> des chefs d’homicide volontaire et d’arrestation, enlèvement, détention ou séquestration avec absence de libération volontaire avant le septième jour.</w:t>
      </w:r>
    </w:p>
    <w:p w14:paraId="5792AF1C" w14:textId="77777777" w:rsidR="003E3695" w:rsidRPr="00E8228A" w:rsidRDefault="003E3695" w:rsidP="003E3695">
      <w:pPr>
        <w:jc w:val="both"/>
      </w:pPr>
      <w:r w:rsidRPr="00E8228A">
        <w:t>Le 10 juillet 201</w:t>
      </w:r>
      <w:r>
        <w:t>9</w:t>
      </w:r>
      <w:r w:rsidRPr="00E8228A">
        <w:t xml:space="preserve">, M </w:t>
      </w:r>
      <w:proofErr w:type="gramStart"/>
      <w:r w:rsidRPr="00E8228A">
        <w:t>Z...</w:t>
      </w:r>
      <w:proofErr w:type="gramEnd"/>
      <w:r w:rsidRPr="00E8228A">
        <w:t xml:space="preserve"> a été mis en examen de ces chefs. Après la délivrance d’un réquisitoire supplétif, la circonstance que les faits ont été commis à raison de l’appartenance vraie ou supposée de la victime à une race ou une religion déterminée a été notifiée à l’intéressé.</w:t>
      </w:r>
    </w:p>
    <w:p w14:paraId="3154B5A4" w14:textId="77777777" w:rsidR="003E3695" w:rsidRDefault="003E3695" w:rsidP="003E3695">
      <w:pPr>
        <w:jc w:val="both"/>
      </w:pPr>
      <w:r w:rsidRPr="00E8228A">
        <w:t>Par ordonnance de transmission de pièces aux fins de saisine de la chambre de l’instruction, en date du 12 juillet 20</w:t>
      </w:r>
      <w:r>
        <w:t>21</w:t>
      </w:r>
      <w:r w:rsidRPr="00E8228A">
        <w:t>, les juges d’instruction, après avoir écarté la circonstance aggravante précitée, ont estimé qu’il existait contre M. </w:t>
      </w:r>
      <w:proofErr w:type="gramStart"/>
      <w:r w:rsidRPr="00E8228A">
        <w:t>Z...</w:t>
      </w:r>
      <w:proofErr w:type="gramEnd"/>
      <w:r w:rsidRPr="00E8228A">
        <w:t>, d’une part, des charges suffisantes d’avoir commis les faits d’homicide volontaire et de séquestration qui lui étaient reprochés et d’autre part, des raisons plausibles d’appliquer le premier alinéa de l’article 122-1 du code pénal.</w:t>
      </w:r>
      <w:r>
        <w:t xml:space="preserve"> </w:t>
      </w:r>
      <w:r w:rsidRPr="00E8228A">
        <w:t>Les parties civiles et le ministère public ont interjeté appel de cette ordonnance.</w:t>
      </w:r>
      <w:r>
        <w:t xml:space="preserve"> Quelles pourraient-être les suites possibles d’une telle procédure ?</w:t>
      </w:r>
    </w:p>
    <w:p w14:paraId="19C920B5" w14:textId="77777777" w:rsidR="003E3695" w:rsidRDefault="003E3695" w:rsidP="003E3695">
      <w:pPr>
        <w:jc w:val="both"/>
      </w:pPr>
    </w:p>
    <w:p w14:paraId="53F88835" w14:textId="77777777" w:rsidR="003E3695" w:rsidRDefault="003E3695" w:rsidP="003E3695">
      <w:pPr>
        <w:jc w:val="both"/>
      </w:pPr>
    </w:p>
    <w:p w14:paraId="008E4BE6" w14:textId="77777777" w:rsidR="003E3695" w:rsidRPr="00673247" w:rsidRDefault="003E3695" w:rsidP="003E3695">
      <w:pPr>
        <w:jc w:val="both"/>
      </w:pPr>
      <w:r w:rsidRPr="00673247">
        <w:t xml:space="preserve">Charles Manson, dopé par la paranoïa (maladie mentale caractérisée par un délire de persécution) et accessoirement la cocaïne, est le gourou apocalyptique de la secte </w:t>
      </w:r>
      <w:r w:rsidRPr="00673247">
        <w:lastRenderedPageBreak/>
        <w:t>satanique "ATWA" en même temps que l'icône mythologique d'une contre-culture macabre. Le 20 juillet 202</w:t>
      </w:r>
      <w:r>
        <w:t>3</w:t>
      </w:r>
      <w:r w:rsidRPr="00673247">
        <w:t>, ce "Jack l'éventreur" des temps modernes a franchi une étape supplémentaire dans la violence pure et gratuite en égorgeant sauvagement plusieurs adolescents dans les vestiaires d’une piscine municipale de Paris. Renvoyé devant la Cour d'Assises de Paris, cet accusé au visage tatoué d'une croix gammée vient d'être condamné, le 12 janvier 202</w:t>
      </w:r>
      <w:r>
        <w:t>6</w:t>
      </w:r>
      <w:r w:rsidRPr="00673247">
        <w:t>, à une peine de réclusion criminelle à perpétuité. Marilyn, la compagne de l’accusé, a pour sa part été acquittée alors même qu'elle était poursuivie en sa qualité de complice des meurtres aggravés. Dans la feuille de motivation accompagnant le verdict d'assises, il est exposé que la cour d’assises a été convaincue de la participation de l’accusée à l'ensemble des faits criminels reprochés à Charles Manson. La feuille de motivation ajoute que la Cour d'assises a « cependant considéré que l’accusée était sous l’emprise totale [du chef de la secte], en tant qu’adepte du groupement à caractère sectaire créé et dirigé par celui-ci, dans lequel elle était entrée plusieurs années auparavant dans un contexte de grande fragilité psychologique puis avait été d’autant plus soumise à ses méthodes d’endoctrinement qu’il l’avait convaincue qu’elle était sa “part d’âme” et que si elle n’obéissait pas entièrement à ses ordres elle risquait de se désagréger et de se décomposer comme un animal mort ». Que pensez-vous d'une telle décision ?</w:t>
      </w:r>
    </w:p>
    <w:p w14:paraId="6E026695" w14:textId="77777777" w:rsidR="003E3695" w:rsidRDefault="003E3695" w:rsidP="003E3695">
      <w:pPr>
        <w:jc w:val="both"/>
      </w:pPr>
    </w:p>
    <w:p w14:paraId="6D264C87" w14:textId="77777777" w:rsidR="003E3695" w:rsidRDefault="003E3695" w:rsidP="003E3695">
      <w:pPr>
        <w:jc w:val="both"/>
      </w:pPr>
    </w:p>
    <w:p w14:paraId="7152B9B9" w14:textId="77777777" w:rsidR="003E3695" w:rsidRPr="00F464DB" w:rsidRDefault="003E3695" w:rsidP="003E3695">
      <w:pPr>
        <w:pStyle w:val="Corpsdetexte"/>
        <w:rPr>
          <w:rFonts w:ascii="Times" w:hAnsi="Times"/>
        </w:rPr>
      </w:pPr>
    </w:p>
    <w:p w14:paraId="0DABD097" w14:textId="77777777" w:rsidR="003E3695" w:rsidRPr="00F464DB" w:rsidRDefault="003E3695" w:rsidP="003E3695">
      <w:pPr>
        <w:pStyle w:val="Corpsdetexte"/>
        <w:rPr>
          <w:rFonts w:ascii="Times" w:hAnsi="Times"/>
        </w:rPr>
      </w:pPr>
    </w:p>
    <w:p w14:paraId="136DF75E" w14:textId="77777777" w:rsidR="003E3695" w:rsidRDefault="003E3695" w:rsidP="003E3695">
      <w:pPr>
        <w:pStyle w:val="Corpsdetexte"/>
        <w:rPr>
          <w:rFonts w:ascii="Times" w:hAnsi="Times"/>
          <w:b w:val="0"/>
        </w:rPr>
      </w:pPr>
    </w:p>
    <w:p w14:paraId="7CB781B3" w14:textId="77777777" w:rsidR="003E3695" w:rsidRDefault="003E3695" w:rsidP="003E3695">
      <w:pPr>
        <w:pStyle w:val="Corpsdetexte"/>
        <w:rPr>
          <w:rFonts w:ascii="Times" w:hAnsi="Times"/>
          <w:b w:val="0"/>
        </w:rPr>
      </w:pPr>
    </w:p>
    <w:p w14:paraId="26F7A4D8" w14:textId="77777777" w:rsidR="003E3695" w:rsidRPr="008F6FB1" w:rsidRDefault="003E3695" w:rsidP="003E3695">
      <w:pPr>
        <w:pStyle w:val="Corpsdetexte"/>
        <w:rPr>
          <w:rFonts w:ascii="Times" w:hAnsi="Times"/>
          <w:b w:val="0"/>
        </w:rPr>
      </w:pPr>
    </w:p>
    <w:p w14:paraId="057BACD7" w14:textId="77777777" w:rsidR="003E3695" w:rsidRPr="00F464DB" w:rsidRDefault="003E3695" w:rsidP="003E3695">
      <w:pPr>
        <w:pStyle w:val="Corpsdetexte"/>
        <w:rPr>
          <w:rFonts w:ascii="Times" w:hAnsi="Times"/>
          <w:b w:val="0"/>
        </w:rPr>
      </w:pPr>
    </w:p>
    <w:p w14:paraId="74A27AAF" w14:textId="77777777" w:rsidR="003E3695" w:rsidRPr="00F464DB" w:rsidRDefault="003E3695" w:rsidP="003E3695">
      <w:pPr>
        <w:jc w:val="both"/>
      </w:pPr>
    </w:p>
    <w:p w14:paraId="18498FD3" w14:textId="77777777" w:rsidR="003E3695" w:rsidRPr="00F464DB" w:rsidRDefault="003E3695" w:rsidP="003E3695">
      <w:pPr>
        <w:jc w:val="center"/>
      </w:pPr>
      <w:r w:rsidRPr="00F464DB">
        <w:t>---------------------------------------</w:t>
      </w:r>
    </w:p>
    <w:p w14:paraId="591F5C0E" w14:textId="77777777" w:rsidR="003E3695" w:rsidRPr="00F464DB" w:rsidRDefault="003E3695" w:rsidP="003E3695">
      <w:pPr>
        <w:jc w:val="both"/>
      </w:pPr>
    </w:p>
    <w:p w14:paraId="231B6D17" w14:textId="77777777" w:rsidR="003E3695" w:rsidRPr="009E1CB8" w:rsidRDefault="003E3695" w:rsidP="003E3695">
      <w:pPr>
        <w:jc w:val="both"/>
        <w:rPr>
          <w:b/>
          <w:bCs/>
        </w:rPr>
      </w:pPr>
      <w:r w:rsidRPr="0063274E">
        <w:rPr>
          <w:b/>
          <w:bCs/>
          <w:u w:val="single"/>
        </w:rPr>
        <w:t>Document n°1 :</w:t>
      </w:r>
      <w:r w:rsidRPr="009E1CB8">
        <w:rPr>
          <w:b/>
          <w:bCs/>
        </w:rPr>
        <w:t xml:space="preserve"> Crim., 6 octobre 2021, pourvoi n°21-84.295.</w:t>
      </w:r>
    </w:p>
    <w:p w14:paraId="6E34C353" w14:textId="77777777" w:rsidR="003E3695" w:rsidRDefault="003E3695" w:rsidP="003E3695">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M. [F] [S] a formé un pourvoi contre l'arrêt de la chambre de l'instruction de la cour d'appel de Reims, en date du 8 juillet 2021, qui l'a renvoyé devant la cour d'assises de la Marne sous l'accusation de violence ayant entraîné une mutilation ou une infirmité permanente.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Un mémoire et des observations complémentaires ont été produits.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Sur le rapport de M. </w:t>
      </w:r>
      <w:proofErr w:type="spellStart"/>
      <w:r>
        <w:rPr>
          <w:rFonts w:ascii="Arial" w:hAnsi="Arial" w:cs="Arial"/>
          <w:color w:val="000000"/>
          <w:sz w:val="21"/>
          <w:szCs w:val="21"/>
          <w:shd w:val="clear" w:color="auto" w:fill="FFFFFF"/>
        </w:rPr>
        <w:t>Guéry</w:t>
      </w:r>
      <w:proofErr w:type="spellEnd"/>
      <w:r>
        <w:rPr>
          <w:rFonts w:ascii="Arial" w:hAnsi="Arial" w:cs="Arial"/>
          <w:color w:val="000000"/>
          <w:sz w:val="21"/>
          <w:szCs w:val="21"/>
          <w:shd w:val="clear" w:color="auto" w:fill="FFFFFF"/>
        </w:rPr>
        <w:t xml:space="preserve">, conseiller, les observations de la SCP Waquet, Farge et Hazan, avocat de M. [F] [S], et les conclusions de Mme Zientara-Logeay, avocat général, après débats en l'audience publique du 6 octobre 2021 où étaient présents M. Soulard, président, M. </w:t>
      </w:r>
      <w:proofErr w:type="spellStart"/>
      <w:r>
        <w:rPr>
          <w:rFonts w:ascii="Arial" w:hAnsi="Arial" w:cs="Arial"/>
          <w:color w:val="000000"/>
          <w:sz w:val="21"/>
          <w:szCs w:val="21"/>
          <w:shd w:val="clear" w:color="auto" w:fill="FFFFFF"/>
        </w:rPr>
        <w:t>Guéry</w:t>
      </w:r>
      <w:proofErr w:type="spellEnd"/>
      <w:r>
        <w:rPr>
          <w:rFonts w:ascii="Arial" w:hAnsi="Arial" w:cs="Arial"/>
          <w:color w:val="000000"/>
          <w:sz w:val="21"/>
          <w:szCs w:val="21"/>
          <w:shd w:val="clear" w:color="auto" w:fill="FFFFFF"/>
        </w:rPr>
        <w:t xml:space="preserve">, conseiller rapporteur, M. de </w:t>
      </w:r>
      <w:proofErr w:type="spellStart"/>
      <w:r>
        <w:rPr>
          <w:rFonts w:ascii="Arial" w:hAnsi="Arial" w:cs="Arial"/>
          <w:color w:val="000000"/>
          <w:sz w:val="21"/>
          <w:szCs w:val="21"/>
          <w:shd w:val="clear" w:color="auto" w:fill="FFFFFF"/>
        </w:rPr>
        <w:t>Larosière</w:t>
      </w:r>
      <w:proofErr w:type="spellEnd"/>
      <w:r>
        <w:rPr>
          <w:rFonts w:ascii="Arial" w:hAnsi="Arial" w:cs="Arial"/>
          <w:color w:val="000000"/>
          <w:sz w:val="21"/>
          <w:szCs w:val="21"/>
          <w:shd w:val="clear" w:color="auto" w:fill="FFFFFF"/>
        </w:rPr>
        <w:t xml:space="preserve"> de </w:t>
      </w:r>
      <w:proofErr w:type="spellStart"/>
      <w:r>
        <w:rPr>
          <w:rFonts w:ascii="Arial" w:hAnsi="Arial" w:cs="Arial"/>
          <w:color w:val="000000"/>
          <w:sz w:val="21"/>
          <w:szCs w:val="21"/>
          <w:shd w:val="clear" w:color="auto" w:fill="FFFFFF"/>
        </w:rPr>
        <w:t>Champfeu</w:t>
      </w:r>
      <w:proofErr w:type="spellEnd"/>
      <w:r>
        <w:rPr>
          <w:rFonts w:ascii="Arial" w:hAnsi="Arial" w:cs="Arial"/>
          <w:color w:val="000000"/>
          <w:sz w:val="21"/>
          <w:szCs w:val="21"/>
          <w:shd w:val="clear" w:color="auto" w:fill="FFFFFF"/>
        </w:rPr>
        <w:t>, conseiller de la chambre, et Mme Lavaud, greffier de chambre,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la chambre criminelle de la Cour de cassation, composée en application de l'article 567-1-1 du code de procédure pénale, des président et conseillers précités, après en avoir délibéré conformément à la loi, a rendu le présent arrêt.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Faits et procédure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Il résulte de l'arrêt attaqué et des pièces de la procédure ce qui suit.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2. Le 13 février 2016, après une rencontre de football de Ligue 1 opposant, à [2], le Stade </w:t>
      </w:r>
      <w:r>
        <w:rPr>
          <w:rFonts w:ascii="Arial" w:hAnsi="Arial" w:cs="Arial"/>
          <w:color w:val="000000"/>
          <w:sz w:val="21"/>
          <w:szCs w:val="21"/>
          <w:shd w:val="clear" w:color="auto" w:fill="FFFFFF"/>
        </w:rPr>
        <w:lastRenderedPageBreak/>
        <w:t>de [2] au Racing Club de [1], des troubles ont été occasionnés par certains supporters bastiais ayant fait le choix de repartir à pied plutôt que de monter dans le bus prévu à cet effet.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3. Huit d'entre eux ont été interpellés et placés en garde à vue à l'issue de la rencontre puis déférés au parquet de Reims.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4. M. [C] [U] a été placé en garde à vue le 14 février 2016. Il présentait une plaie saignante à l'</w:t>
      </w:r>
      <w:proofErr w:type="spellStart"/>
      <w:r>
        <w:rPr>
          <w:rFonts w:ascii="Arial" w:hAnsi="Arial" w:cs="Arial"/>
          <w:color w:val="000000"/>
          <w:sz w:val="21"/>
          <w:szCs w:val="21"/>
          <w:shd w:val="clear" w:color="auto" w:fill="FFFFFF"/>
        </w:rPr>
        <w:t>oeil</w:t>
      </w:r>
      <w:proofErr w:type="spellEnd"/>
      <w:r>
        <w:rPr>
          <w:rFonts w:ascii="Arial" w:hAnsi="Arial" w:cs="Arial"/>
          <w:color w:val="000000"/>
          <w:sz w:val="21"/>
          <w:szCs w:val="21"/>
          <w:shd w:val="clear" w:color="auto" w:fill="FFFFFF"/>
        </w:rPr>
        <w:t xml:space="preserve"> gauche et se disait victime d'un tir de flash-ball et de coups au thorax portés après son interpellation et son placement en garde à vue. Son état de santé ne permettait pas la poursuite de sa garde à vue.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5. Le 17 février 2016, une information judiciaire a été ouverte contre personne non dénommée du chef de violences volontaires ayant entraîné une ITT supérieure à 8 jours au préjudice de M. [U].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6. Les constatations médicales postérieures ont montré que la victime avait définitivement perdu l'usage d'un </w:t>
      </w:r>
      <w:proofErr w:type="spellStart"/>
      <w:r>
        <w:rPr>
          <w:rFonts w:ascii="Arial" w:hAnsi="Arial" w:cs="Arial"/>
          <w:color w:val="000000"/>
          <w:sz w:val="21"/>
          <w:szCs w:val="21"/>
          <w:shd w:val="clear" w:color="auto" w:fill="FFFFFF"/>
        </w:rPr>
        <w:t>oeil</w:t>
      </w:r>
      <w:proofErr w:type="spellEnd"/>
      <w:r>
        <w:rPr>
          <w:rFonts w:ascii="Arial" w:hAnsi="Arial" w:cs="Arial"/>
          <w:color w:val="000000"/>
          <w:sz w:val="21"/>
          <w:szCs w:val="21"/>
          <w:shd w:val="clear" w:color="auto" w:fill="FFFFFF"/>
        </w:rPr>
        <w: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7. M. [F] [S], fonctionnaire de police, a été mis en examen du chef de violence avec arme ayant entraîné une mutilation ou une infirmité permanente. Il a été placé sous contrôle judiciaire.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8. Par ordonnance du 25 janvier 2021, M. [S] a été mis en accusation devant la cour d'assises de la Marne.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9. Il a relevé appel de cette décision.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Examen des moyens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Sur le premier moyen pris en ses deuxième et troisième branches, et sur le second moyen pris en sa cinquième branche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10. Ils ne sont pas de nature à permettre l'admission du pourvoi au sens de l'article 567-1-1 du code de procédure pénale.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Sur le premier moyen pris en sa première branche et sur le second moyen pris en ses quatre premières branches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Enoncé des moyens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11. La première branche du premier moyen critique l'arrêt attaqué en ce qu'il a ordonné la mise en accusation et le renvoi de M. [S] devant la cour d'assises du chef de violences volontaires ayant entraîné une mutilation ou une infirmité permanente avec arme, alors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1°/ que l'ordre d'interpeller donné par l'autorité hiérarchique « sans consigne particulière quant aux méthodes à utiliser » n'excluait aucunement un éventuel usage d'une arme, fût-ce contre un « fuyard » qu'il fallait interpeller ; qu'en affirmant que M. [S] se serait « de bonne ou de mauvaise foi mépris sur la nature de l'ordre reçu, dont la chambre de l'instruction incline en conséquence à penser qu'il est mal fondé à se prévaloir », la chambre de l'instruction a violé l'article 122-4 du code pénal.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12. Le second moyen, pris en ses quatre premières branches, critique l'arrêt attaqué en ce qu'il a ordonné la mise en accusation et le renvoi de M. [S] devant la cour d'assises du chef </w:t>
      </w:r>
      <w:r>
        <w:rPr>
          <w:rFonts w:ascii="Arial" w:hAnsi="Arial" w:cs="Arial"/>
          <w:color w:val="000000"/>
          <w:sz w:val="21"/>
          <w:szCs w:val="21"/>
          <w:shd w:val="clear" w:color="auto" w:fill="FFFFFF"/>
        </w:rPr>
        <w:lastRenderedPageBreak/>
        <w:t>de violences volontaires ayant entraîné une mutilation ou une infirmité permanente, avec arme, alors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1°/ que selon l'article L 435-1 du code de la sécurité intérieure, dans l'exercice de leurs fonctions et revêtus de leur uniforme ou des insignes extérieurs et apparents de leur qualité, les agents de la police nationale peuvent faire usage de leurs armes en cas d'absolue nécessité et de manière strictement proportionnée, lorsque des atteintes à la vie ou à l'intégrité physique sont portées contre eux ou contre autrui ou lorsque des personnes armées menacent leur vie ou leur intégrité physique ou celles d'autrui ; que ce texte ne pose aucune condition de concomitance entre la riposte et l'attaque ; qu'en retenant le contraire, la chambre de l'instruction a violé ces dispositions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2°/ que les conditions d'absolue nécessité et stricte proportionnalité s'apprécient in </w:t>
      </w:r>
      <w:proofErr w:type="spellStart"/>
      <w:r>
        <w:rPr>
          <w:rFonts w:ascii="Arial" w:hAnsi="Arial" w:cs="Arial"/>
          <w:color w:val="000000"/>
          <w:sz w:val="21"/>
          <w:szCs w:val="21"/>
          <w:shd w:val="clear" w:color="auto" w:fill="FFFFFF"/>
        </w:rPr>
        <w:t>concreto</w:t>
      </w:r>
      <w:proofErr w:type="spellEnd"/>
      <w:r>
        <w:rPr>
          <w:rFonts w:ascii="Arial" w:hAnsi="Arial" w:cs="Arial"/>
          <w:color w:val="000000"/>
          <w:sz w:val="21"/>
          <w:szCs w:val="21"/>
          <w:shd w:val="clear" w:color="auto" w:fill="FFFFFF"/>
        </w:rPr>
        <w:t>, en fonction de l'ensemble des circonstances de fait ; que tout arrêt de la chambre de l'instruction doit comporter les motifs propres à justifier la décision et répondre aux articulations essentielles des mémoires des parties ; que l'insuffisance ou la contradiction des motifs équivaut à leur absence ; qu'en se plaçant exclusivement au moment de la fuite pour apprécier la nécessité et la proportionnalité de l'usage ayant été fait par le fonctionnaire de police de son bâton télescopique et en tenant pas compte, comme elle y était invitée, de la situation dans laquelle il s'était retrouvé dans sa globalité, c'est-à-dire à compter du moment où l'ordre de procéder aux interpellations avait été donné suite aux jets de projectiles constituant des atteintes à l'intégrité physique des fonctionnaires, la chambre de l'instruction n'a pas légalement justifié sa décision au regard des articles L. 435-1 du code de la sécurité intérieure, 122-5 du code pénal et 593 du code de procédure pénale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3°/ que l'article L. 435-1 du code de la sécurité intérieure autorise les agents de la police nationale à faire usage de leurs armes en cas d'absolue nécessité et de manière strictement proportionnée, appréciées in </w:t>
      </w:r>
      <w:proofErr w:type="spellStart"/>
      <w:r>
        <w:rPr>
          <w:rFonts w:ascii="Arial" w:hAnsi="Arial" w:cs="Arial"/>
          <w:color w:val="000000"/>
          <w:sz w:val="21"/>
          <w:szCs w:val="21"/>
          <w:shd w:val="clear" w:color="auto" w:fill="FFFFFF"/>
        </w:rPr>
        <w:t>concreto</w:t>
      </w:r>
      <w:proofErr w:type="spellEnd"/>
      <w:r>
        <w:rPr>
          <w:rFonts w:ascii="Arial" w:hAnsi="Arial" w:cs="Arial"/>
          <w:color w:val="000000"/>
          <w:sz w:val="21"/>
          <w:szCs w:val="21"/>
          <w:shd w:val="clear" w:color="auto" w:fill="FFFFFF"/>
        </w:rPr>
        <w:t>, en cas d'atteintes à la vie ou à l'intégrité physique ou de menace d'atteinte à le vie ou à l'intégrité physique ; que tout arrêt de la chambre de l'instruction doit comporter les motifs propres à justifier la décision et répondre aux articulations essentielles des mémoires des parties ; que l'insuffisance ou la contradiction des motifs équivaut à leur absence ; que M. [S] soutenait avoir agi en répondant à des atteintes et menaces d'atteintes à l'intégrité physique des fonctionnaires présents sur place lorsqu'il a utilisé son bâton télescopique pour atteindre M. [U] et procéder ensuite à son interpellation ; qu'en se bornant à rechercher puis écarter une menace pour la vie du policier ou celle d'autrui, la chambre de l'instruction n'a pas légalement justifié sa décision au regard des articles L. 435-1 du code de la sécurité intérieure et 593 du code de procédure pénale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4°/ qu'en retenant qu'il n'est pas établi avec certitude qu'il aurait été procédé aux deux sommations préalables requises par l'article L. 435-1, 3°, du code de la sécurité intérieure tout en constatant que la partie civile a reconnu ne pas avoir obtempéré « aux injonctions du policier » et avoir pris la fuite, la chambre de l'instruction n'a pas tiré les conséquences légales de ses propres constatations et violé ces dispositions.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Réponse de la Cour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13. Les moyens sont réunis.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14. L'article L435-1 du code de sécurité intérieure, issu de la loi n°2017-258 du 28 février 2017 prévoit que, dans l'exercice de leurs fonctions et revêtus de leur uniforme ou des insignes extérieurs et apparents de leur qualité, les agents de la police nationale et les militaires de la gendarmerie nationale peuvent, outre les cas mentionnés à l'article L. 211-9 du même code, faire usage de leurs armes en cas d'absolue nécessité et de manière strictement proportionnée, dans les cas qu'il détermine.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15. Selon le 1° de cet article, il en est ainsi lorsque des atteintes à la vie ou à l'intégrité physique sont portées contre eux ou contre autrui ou lorsque des personnes armées menacent leur vie ou leur intégrité physique ou celles d'autrui.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16. Bien que le texte ne le précise pas expressément, il résulte, d'une part, de la forme grammaticale adoptée, soit le présent de l'indicatif, d'autre part, des travaux parlementaires, que, pour être justifié, l'usage de l'arme doit être réalisé dans le même temps que sont portées des atteintes ou proférées des menaces à la vie ou à l'intégrité physique des agents ou d'autrui.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17. Pour rejeter la demande d'application du fait justificatif prévu par l'article 122-4 du code pénal, et ordonner la mise en accusation de M. [S] devant la cour d'assises du chef susvisé, l'arrêt attaqué relève que l'ordre donné par l'autorité légitime était d'interpeller les personnes troublant l'ordre public, sans consigne particulière quant aux méthodes à utiliser.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18. Les juges énoncent que les éléments de procédure ne permettent pas d'affirmer, en outre, et contrairement à ce que soutient M. [S], que M. [U] aurait fait partie des supporters les plus virulents et les plus actifs, ni même qu'il aurait participé aux insultes et exactions dénoncées.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19. Ils concluent sur ce point qu'il n'est pas acquis que M. [S] soit en droit, dans ces conditions, de se prévaloir d'éléments de contexte pour considérer qu'il avait reçu des instructions autorisant expressément, ou même implicitement par leur caractère général, l'interpellation avec usage d'une arme de M. [U], dont il n'est pas contesté en revanche qu'il était en train de fuir au moment où il a reçu le coup qui a eu pour conséquence de le priver définitivement de l'usage de son </w:t>
      </w:r>
      <w:proofErr w:type="spellStart"/>
      <w:r>
        <w:rPr>
          <w:rFonts w:ascii="Arial" w:hAnsi="Arial" w:cs="Arial"/>
          <w:color w:val="000000"/>
          <w:sz w:val="21"/>
          <w:szCs w:val="21"/>
          <w:shd w:val="clear" w:color="auto" w:fill="FFFFFF"/>
        </w:rPr>
        <w:t>oeil</w:t>
      </w:r>
      <w:proofErr w:type="spellEnd"/>
      <w:r>
        <w:rPr>
          <w:rFonts w:ascii="Arial" w:hAnsi="Arial" w:cs="Arial"/>
          <w:color w:val="000000"/>
          <w:sz w:val="21"/>
          <w:szCs w:val="21"/>
          <w:shd w:val="clear" w:color="auto" w:fill="FFFFFF"/>
        </w:rPr>
        <w:t xml:space="preserve"> gauche ; que M. [S], de bonne ou de mauvaise foi, s'est mépris sur la nature de l'ordre reçu.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20. Les juges énoncent ensuite que l'article L 435-1 du code de la sécurité intérieure encadre rigoureusement l'action des forces de l'ordre, et à plusieurs égards, reprend les exigences de la légitime défense, notamment dans son 1°, l'usage du présent de l'indicatif permettant de retenir l'exigence de la concomitance entre la riposte et l'attaque.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21. Ils ajoutent, que l'on se place dans le cadre d'un ordre donné par l'autorité légitime ou de l'autorisation de la loi, que l'action doit répondre aux mêmes exigences issues de l'article L. 435-1 du code de la sécurité intérieure ; qu'il ne résulte nullement de l'information que M. [S] se serait trouvé dans l'une des hypothèses prévues par cet article, lequel rappelle à titre liminaire que l'usage de leurs armes par les forces de l'ordre ne doit s'effectuer qu'en cas d'absolue nécessité et de manière strictement proportionnée et qu'en l'espèce, la vie du policier, pas plus que celle d'autrui, n'était menacée par M. [U], qui fuyait et dont rien ne démontre qu'il était porteur d'une arme, fût-ce par destination.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22. La cour conclut que, dans ces conditions, rien ne démontre que M. [S] était autorisé dans la circonstance à faire usage de son arme, en méconnaissance des principes de proportionnalité et d'absolue nécessité.</w:t>
      </w:r>
      <w:r>
        <w:rPr>
          <w:rFonts w:ascii="Arial" w:hAnsi="Arial" w:cs="Arial"/>
          <w:color w:val="000000"/>
          <w:sz w:val="21"/>
          <w:szCs w:val="21"/>
        </w:rPr>
        <w:br/>
      </w:r>
      <w:r>
        <w:rPr>
          <w:rFonts w:ascii="Arial" w:hAnsi="Arial" w:cs="Arial"/>
          <w:color w:val="000000"/>
          <w:sz w:val="21"/>
          <w:szCs w:val="21"/>
          <w:shd w:val="clear" w:color="auto" w:fill="FFFFFF"/>
        </w:rPr>
        <w:t>23. En se déterminant ainsi, la chambre de l'instruction a, sans insuffisance ni contradiction, justifié sa décision.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24. En effet, la chambre de l'instruction a pu estimer, après avoir souverainement apprécié les faits et les éléments discutés devant elle, que, d'une part, M. [S] ne pouvait invoquer le commandement de l'autorité légitime pour avoir fait usage de son arme contre une personne qui prenait la fuite, aucun élément ne permettant de conclure à l'implication de la victime dans les infractions commises dans les minutes qui précédaient, cette action dépassant dès lors la consigne d'interpeller les personnes troublant l'ordre public.</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25. Elle a pu également juger, d'autre part, que l'action entreprise par M. [S] n'entrait pas </w:t>
      </w:r>
      <w:r>
        <w:rPr>
          <w:rFonts w:ascii="Arial" w:hAnsi="Arial" w:cs="Arial"/>
          <w:color w:val="000000"/>
          <w:sz w:val="21"/>
          <w:szCs w:val="21"/>
          <w:shd w:val="clear" w:color="auto" w:fill="FFFFFF"/>
        </w:rPr>
        <w:lastRenderedPageBreak/>
        <w:t>dans le cadre d'application de l'article L. 435-1 du code de la sécurité intérieure, les faits ayant été commis, alors que la personne visée prenait la fuite, en méconnaissance des principes de proportionnalité et d'absolue nécessité.</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26. Les moyens doivent, en conséquence, être rejetés.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PAR CES MOTIFS, la Cour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REJETTE le pourvoi.</w:t>
      </w:r>
    </w:p>
    <w:p w14:paraId="79363B4A" w14:textId="77777777" w:rsidR="003E3695" w:rsidRDefault="003E3695" w:rsidP="003E3695"/>
    <w:p w14:paraId="308D74B4" w14:textId="77777777" w:rsidR="003E3695" w:rsidRDefault="003E3695" w:rsidP="003E3695">
      <w:pPr>
        <w:pBdr>
          <w:bottom w:val="single" w:sz="6" w:space="1" w:color="auto"/>
        </w:pBdr>
      </w:pPr>
    </w:p>
    <w:p w14:paraId="3DC2E9BE" w14:textId="77777777" w:rsidR="003E3695" w:rsidRDefault="003E3695" w:rsidP="003E3695"/>
    <w:p w14:paraId="798DFB62" w14:textId="77777777" w:rsidR="003E3695" w:rsidRPr="009E1CB8" w:rsidRDefault="003E3695" w:rsidP="003E3695">
      <w:pPr>
        <w:jc w:val="both"/>
        <w:rPr>
          <w:b/>
          <w:bCs/>
        </w:rPr>
      </w:pPr>
      <w:r w:rsidRPr="009E1CB8">
        <w:rPr>
          <w:b/>
          <w:bCs/>
          <w:u w:val="single"/>
        </w:rPr>
        <w:t>Document 2 :</w:t>
      </w:r>
      <w:r w:rsidRPr="00876196">
        <w:rPr>
          <w:b/>
          <w:bCs/>
        </w:rPr>
        <w:t xml:space="preserve"> </w:t>
      </w:r>
      <w:r>
        <w:rPr>
          <w:b/>
          <w:bCs/>
        </w:rPr>
        <w:t>loi n° 2022-52 du 24 janvier 2022 (extraits) relative à la responsabilité pénale et à la sécurité intérieure</w:t>
      </w:r>
      <w:r w:rsidRPr="009E1CB8">
        <w:rPr>
          <w:b/>
          <w:bCs/>
        </w:rPr>
        <w:t xml:space="preserve"> </w:t>
      </w:r>
      <w:r>
        <w:rPr>
          <w:b/>
          <w:bCs/>
        </w:rPr>
        <w:t>dans ses dispositions se rapportant à l’irresponsabilité pénale pour cause de trouble mental.</w:t>
      </w:r>
    </w:p>
    <w:p w14:paraId="56F1C4E1" w14:textId="77777777" w:rsidR="003E3695" w:rsidRDefault="003E3695" w:rsidP="003E3695">
      <w:pPr>
        <w:jc w:val="both"/>
      </w:pPr>
    </w:p>
    <w:p w14:paraId="141AC355" w14:textId="77777777" w:rsidR="003E3695" w:rsidRPr="00876196" w:rsidRDefault="003E3695" w:rsidP="003E3695">
      <w:pPr>
        <w:numPr>
          <w:ilvl w:val="0"/>
          <w:numId w:val="2"/>
        </w:numPr>
        <w:jc w:val="both"/>
        <w:rPr>
          <w:b/>
          <w:bCs/>
          <w:sz w:val="20"/>
          <w:szCs w:val="20"/>
        </w:rPr>
      </w:pPr>
      <w:hyperlink r:id="rId5" w:history="1">
        <w:r w:rsidRPr="00876196">
          <w:rPr>
            <w:rStyle w:val="Lienhypertexte"/>
            <w:rFonts w:eastAsiaTheme="majorEastAsia"/>
            <w:b/>
            <w:bCs/>
            <w:sz w:val="20"/>
            <w:szCs w:val="20"/>
          </w:rPr>
          <w:t>Article 1</w:t>
        </w:r>
      </w:hyperlink>
    </w:p>
    <w:p w14:paraId="61C45451" w14:textId="77777777" w:rsidR="003E3695" w:rsidRPr="00876196" w:rsidRDefault="003E3695" w:rsidP="003E3695">
      <w:pPr>
        <w:jc w:val="both"/>
        <w:rPr>
          <w:sz w:val="20"/>
          <w:szCs w:val="20"/>
        </w:rPr>
      </w:pPr>
      <w:r w:rsidRPr="00876196">
        <w:rPr>
          <w:sz w:val="20"/>
          <w:szCs w:val="20"/>
        </w:rPr>
        <w:br/>
        <w:t>I.-Après l'article 122-1 du code pénal, sont insérés des articles 122-1-1 et 122-1-2 ainsi rédigés :</w:t>
      </w:r>
    </w:p>
    <w:p w14:paraId="43E3895B" w14:textId="77777777" w:rsidR="003E3695" w:rsidRPr="00876196" w:rsidRDefault="003E3695" w:rsidP="003E3695">
      <w:pPr>
        <w:jc w:val="both"/>
        <w:rPr>
          <w:sz w:val="20"/>
          <w:szCs w:val="20"/>
        </w:rPr>
      </w:pPr>
      <w:r w:rsidRPr="00876196">
        <w:rPr>
          <w:sz w:val="20"/>
          <w:szCs w:val="20"/>
        </w:rPr>
        <w:br/>
        <w:t>« Art. 122-1-1.-Le premier alinéa de l'article 122-1 n'est pas applicable si l'abolition temporaire du discernement de la personne ou du contrôle de ses actes au moment de la commission d'un crime ou d'un délit résulte de ce que, dans un temps très voisin de l'action, la personne a volontairement consommé des substances psychoactives dans le dessein de commettre l'infraction ou une infraction de même nature ou d'en faciliter la commission.</w:t>
      </w:r>
    </w:p>
    <w:p w14:paraId="0B195169" w14:textId="77777777" w:rsidR="003E3695" w:rsidRPr="00876196" w:rsidRDefault="003E3695" w:rsidP="003E3695">
      <w:pPr>
        <w:jc w:val="both"/>
        <w:rPr>
          <w:sz w:val="20"/>
          <w:szCs w:val="20"/>
        </w:rPr>
      </w:pPr>
      <w:r w:rsidRPr="00876196">
        <w:rPr>
          <w:sz w:val="20"/>
          <w:szCs w:val="20"/>
        </w:rPr>
        <w:br/>
        <w:t>« Art. 122-1-2.-La diminution de peine prévue au second alinéa de l'article 122-1 n'est pas applicable en cas d'altération temporaire du discernement de la personne ou du contrôle de ses actes au moment de la commission d'un crime ou d'un délit lorsque cette altération résulte d'une consommation volontaire, de façon illicite ou manifestement excessive, de substances psychoactives. »</w:t>
      </w:r>
    </w:p>
    <w:p w14:paraId="6554EB74" w14:textId="77777777" w:rsidR="003E3695" w:rsidRPr="00876196" w:rsidRDefault="003E3695" w:rsidP="003E3695">
      <w:pPr>
        <w:jc w:val="both"/>
        <w:rPr>
          <w:sz w:val="20"/>
          <w:szCs w:val="20"/>
        </w:rPr>
      </w:pPr>
      <w:r w:rsidRPr="00876196">
        <w:rPr>
          <w:sz w:val="20"/>
          <w:szCs w:val="20"/>
        </w:rPr>
        <w:br/>
        <w:t>II.-Après le premier alinéa de l'article 706-120 du code de procédure pénale, il est inséré un alinéa ainsi rédigé :</w:t>
      </w:r>
      <w:r w:rsidRPr="00876196">
        <w:rPr>
          <w:sz w:val="20"/>
          <w:szCs w:val="20"/>
        </w:rPr>
        <w:br/>
        <w:t>« Lorsque le juge d'instruction, au moment du règlement de son information, estime que l'abolition temporaire du discernement de la personne mise en examen résulte au moins partiellement de son fait et qu'il existe une ou plusieurs expertises concluant que le discernement de la personne était seulement altéré, il renvoie celle-ci devant la juridiction de jugement compétente qui statue à huis clos sur l'application du même article 122-1 ; si la personne n'est pas déclarée pénalement irresponsable, le dossier est renvoyé à une audience ultérieure pour être examiné au fond conformément aux dispositions relatives aux jugements des crimes ou des délits. »</w:t>
      </w:r>
    </w:p>
    <w:p w14:paraId="05D9B7D5" w14:textId="77777777" w:rsidR="003E3695" w:rsidRPr="00876196" w:rsidRDefault="003E3695" w:rsidP="003E3695">
      <w:pPr>
        <w:jc w:val="both"/>
        <w:rPr>
          <w:sz w:val="20"/>
          <w:szCs w:val="20"/>
        </w:rPr>
      </w:pPr>
      <w:r w:rsidRPr="00876196">
        <w:rPr>
          <w:sz w:val="20"/>
          <w:szCs w:val="20"/>
        </w:rPr>
        <w:t>Versions </w:t>
      </w:r>
    </w:p>
    <w:p w14:paraId="0C6E0F12" w14:textId="77777777" w:rsidR="003E3695" w:rsidRPr="00876196" w:rsidRDefault="003E3695" w:rsidP="003E3695">
      <w:pPr>
        <w:numPr>
          <w:ilvl w:val="0"/>
          <w:numId w:val="2"/>
        </w:numPr>
        <w:jc w:val="both"/>
        <w:rPr>
          <w:b/>
          <w:bCs/>
          <w:sz w:val="20"/>
          <w:szCs w:val="20"/>
        </w:rPr>
      </w:pPr>
      <w:hyperlink r:id="rId6" w:history="1">
        <w:r w:rsidRPr="00876196">
          <w:rPr>
            <w:rStyle w:val="Lienhypertexte"/>
            <w:rFonts w:eastAsiaTheme="majorEastAsia"/>
            <w:b/>
            <w:bCs/>
            <w:sz w:val="20"/>
            <w:szCs w:val="20"/>
          </w:rPr>
          <w:t>Article 2</w:t>
        </w:r>
      </w:hyperlink>
    </w:p>
    <w:p w14:paraId="7544CADA" w14:textId="77777777" w:rsidR="003E3695" w:rsidRPr="00876196" w:rsidRDefault="003E3695" w:rsidP="003E3695">
      <w:pPr>
        <w:jc w:val="both"/>
        <w:rPr>
          <w:sz w:val="20"/>
          <w:szCs w:val="20"/>
        </w:rPr>
      </w:pPr>
      <w:r w:rsidRPr="00876196">
        <w:rPr>
          <w:sz w:val="20"/>
          <w:szCs w:val="20"/>
        </w:rPr>
        <w:br/>
        <w:t>Le titre II du livre II du code pénal est ainsi modifié :</w:t>
      </w:r>
      <w:r w:rsidRPr="00876196">
        <w:rPr>
          <w:sz w:val="20"/>
          <w:szCs w:val="20"/>
        </w:rPr>
        <w:br/>
        <w:t>1° Après le 10° de l'article 221-4, il est inséré un 11° ainsi rédigé :</w:t>
      </w:r>
      <w:r w:rsidRPr="00876196">
        <w:rPr>
          <w:sz w:val="20"/>
          <w:szCs w:val="20"/>
        </w:rPr>
        <w:br/>
        <w:t>« 11° Par une personne agissant en état d'ivresse manifeste ou sous l'emprise manifeste de produits stupéfiants. » ;</w:t>
      </w:r>
      <w:r w:rsidRPr="00876196">
        <w:rPr>
          <w:sz w:val="20"/>
          <w:szCs w:val="20"/>
        </w:rPr>
        <w:br/>
        <w:t>2° Après le 10° de l'article 222-3, il est inséré un 11° ainsi rédigé :</w:t>
      </w:r>
      <w:r w:rsidRPr="00876196">
        <w:rPr>
          <w:sz w:val="20"/>
          <w:szCs w:val="20"/>
        </w:rPr>
        <w:br/>
        <w:t>« 11° Par une personne agissant en état d'ivresse manifeste ou sous l'emprise manifeste de produits stupéfiants. » ;</w:t>
      </w:r>
      <w:r w:rsidRPr="00876196">
        <w:rPr>
          <w:sz w:val="20"/>
          <w:szCs w:val="20"/>
        </w:rPr>
        <w:br/>
        <w:t>3° Après le 10° de l'article 222-8, il est inséré un 11° ainsi rédigé :</w:t>
      </w:r>
      <w:r w:rsidRPr="00876196">
        <w:rPr>
          <w:sz w:val="20"/>
          <w:szCs w:val="20"/>
        </w:rPr>
        <w:br/>
        <w:t>« 11° Par une personne agissant en état d'ivresse manifeste ou sous l'emprise manifeste de produits stupéfiants. » ;</w:t>
      </w:r>
      <w:r w:rsidRPr="00876196">
        <w:rPr>
          <w:sz w:val="20"/>
          <w:szCs w:val="20"/>
        </w:rPr>
        <w:br/>
        <w:t>4° Après le 10° de l'article 222-10, il est inséré un 11° ainsi rédigé :</w:t>
      </w:r>
      <w:r w:rsidRPr="00876196">
        <w:rPr>
          <w:sz w:val="20"/>
          <w:szCs w:val="20"/>
        </w:rPr>
        <w:br/>
        <w:t>« 11° Par une personne agissant en état d'ivresse manifeste ou sous l'emprise manifeste de produits stupéfiants. »</w:t>
      </w:r>
    </w:p>
    <w:p w14:paraId="6B26F891" w14:textId="77777777" w:rsidR="003E3695" w:rsidRPr="00876196" w:rsidRDefault="003E3695" w:rsidP="003E3695">
      <w:pPr>
        <w:jc w:val="both"/>
        <w:rPr>
          <w:sz w:val="20"/>
          <w:szCs w:val="20"/>
        </w:rPr>
      </w:pPr>
      <w:r w:rsidRPr="00876196">
        <w:rPr>
          <w:sz w:val="20"/>
          <w:szCs w:val="20"/>
        </w:rPr>
        <w:t>Versions </w:t>
      </w:r>
    </w:p>
    <w:p w14:paraId="511AB7C1" w14:textId="77777777" w:rsidR="003E3695" w:rsidRPr="00876196" w:rsidRDefault="003E3695" w:rsidP="003E3695">
      <w:pPr>
        <w:numPr>
          <w:ilvl w:val="0"/>
          <w:numId w:val="2"/>
        </w:numPr>
        <w:jc w:val="both"/>
        <w:rPr>
          <w:b/>
          <w:bCs/>
          <w:sz w:val="20"/>
          <w:szCs w:val="20"/>
        </w:rPr>
      </w:pPr>
      <w:hyperlink r:id="rId7" w:history="1">
        <w:r w:rsidRPr="00876196">
          <w:rPr>
            <w:rStyle w:val="Lienhypertexte"/>
            <w:rFonts w:eastAsiaTheme="majorEastAsia"/>
            <w:b/>
            <w:bCs/>
            <w:sz w:val="20"/>
            <w:szCs w:val="20"/>
          </w:rPr>
          <w:t>Article 3</w:t>
        </w:r>
      </w:hyperlink>
    </w:p>
    <w:p w14:paraId="0908424E" w14:textId="77777777" w:rsidR="003E3695" w:rsidRPr="00876196" w:rsidRDefault="003E3695" w:rsidP="003E3695">
      <w:pPr>
        <w:jc w:val="both"/>
        <w:rPr>
          <w:sz w:val="20"/>
          <w:szCs w:val="20"/>
        </w:rPr>
      </w:pPr>
      <w:r w:rsidRPr="00876196">
        <w:rPr>
          <w:sz w:val="20"/>
          <w:szCs w:val="20"/>
        </w:rPr>
        <w:lastRenderedPageBreak/>
        <w:br/>
        <w:t>Le titre II du livre II du code pénal est ainsi modifié :</w:t>
      </w:r>
      <w:r w:rsidRPr="00876196">
        <w:rPr>
          <w:sz w:val="20"/>
          <w:szCs w:val="20"/>
        </w:rPr>
        <w:br/>
        <w:t xml:space="preserve">1° Après la section 1 du chapitre Ier, est insérée une section 1 </w:t>
      </w:r>
      <w:proofErr w:type="gramStart"/>
      <w:r w:rsidRPr="00876196">
        <w:rPr>
          <w:sz w:val="20"/>
          <w:szCs w:val="20"/>
        </w:rPr>
        <w:t>bis ainsi rédigée</w:t>
      </w:r>
      <w:proofErr w:type="gramEnd"/>
      <w:r w:rsidRPr="00876196">
        <w:rPr>
          <w:sz w:val="20"/>
          <w:szCs w:val="20"/>
        </w:rPr>
        <w:t xml:space="preserve"> :</w:t>
      </w:r>
    </w:p>
    <w:p w14:paraId="1CE45FFD" w14:textId="77777777" w:rsidR="003E3695" w:rsidRPr="00876196" w:rsidRDefault="003E3695" w:rsidP="003E3695">
      <w:pPr>
        <w:jc w:val="both"/>
        <w:rPr>
          <w:sz w:val="20"/>
          <w:szCs w:val="20"/>
        </w:rPr>
      </w:pPr>
      <w:r w:rsidRPr="00876196">
        <w:rPr>
          <w:sz w:val="20"/>
          <w:szCs w:val="20"/>
        </w:rPr>
        <w:br/>
        <w:t>« Section 1 bis</w:t>
      </w:r>
      <w:r w:rsidRPr="00876196">
        <w:rPr>
          <w:sz w:val="20"/>
          <w:szCs w:val="20"/>
        </w:rPr>
        <w:br/>
        <w:t>« De l'atteinte à la vie résultant d'une intoxication volontaire</w:t>
      </w:r>
    </w:p>
    <w:p w14:paraId="0043227D" w14:textId="77777777" w:rsidR="003E3695" w:rsidRPr="00876196" w:rsidRDefault="003E3695" w:rsidP="003E3695">
      <w:pPr>
        <w:jc w:val="both"/>
        <w:rPr>
          <w:sz w:val="20"/>
          <w:szCs w:val="20"/>
        </w:rPr>
      </w:pPr>
      <w:r w:rsidRPr="00876196">
        <w:rPr>
          <w:sz w:val="20"/>
          <w:szCs w:val="20"/>
        </w:rPr>
        <w:br/>
        <w:t>« Art. 221-5-6.-Est puni de dix ans d'emprisonnement et de 150 000 euros d'amende le fait pour une personne d'avoir consommé volontairement, de façon illicite ou manifestement excessive, des substances psychoactives en ayant connaissance du fait que cette consommation est susceptible de la conduire à mettre délibérément autrui en danger, lorsque cette consommation a entraîné un trouble psychique ou neuropsychique temporaire sous l'empire duquel elle a commis un homicide volontaire dont elle est déclarée pénalement irresponsable en application du premier alinéa de l'article 122-1.</w:t>
      </w:r>
      <w:r w:rsidRPr="00876196">
        <w:rPr>
          <w:sz w:val="20"/>
          <w:szCs w:val="20"/>
        </w:rPr>
        <w:br/>
        <w:t>« Si l'infraction prévue au premier alinéa du présent article a été commise par une personne qui a été précédemment déclarée pénalement irresponsable d'un homicide volontaire en application du premier alinéa de l'article 122-1 en raison d'une abolition de son discernement ou du contrôle de ses actes résultant d'un trouble psychique ou neuropsychique temporaire provoqué par la même consommation volontaire de substances psychoactives, la peine est portée à quinze ans de réclusion criminelle. Dans les cas prévus au présent alinéa, les articles 132-8 et 132-9 ne sont pas applicables. » ;</w:t>
      </w:r>
    </w:p>
    <w:p w14:paraId="2A8EC404" w14:textId="77777777" w:rsidR="003E3695" w:rsidRPr="00876196" w:rsidRDefault="003E3695" w:rsidP="003E3695">
      <w:pPr>
        <w:jc w:val="both"/>
        <w:rPr>
          <w:sz w:val="20"/>
          <w:szCs w:val="20"/>
        </w:rPr>
      </w:pPr>
      <w:r w:rsidRPr="00876196">
        <w:rPr>
          <w:sz w:val="20"/>
          <w:szCs w:val="20"/>
        </w:rPr>
        <w:br/>
        <w:t>2° Au premier alinéa de l'article 221-9 et à l'article 221-9-1, la référence : « par la section 1 » est remplacée par les références : « aux sections 1 et 1 bis » ;</w:t>
      </w:r>
      <w:r w:rsidRPr="00876196">
        <w:rPr>
          <w:sz w:val="20"/>
          <w:szCs w:val="20"/>
        </w:rPr>
        <w:br/>
        <w:t>3° A l'article 221-11, la référence : « à la section 1 » est remplacée par les références : « aux sections 1 et 1 bis » ;</w:t>
      </w:r>
      <w:r w:rsidRPr="00876196">
        <w:rPr>
          <w:sz w:val="20"/>
          <w:szCs w:val="20"/>
        </w:rPr>
        <w:br/>
        <w:t xml:space="preserve">4° Après la section 1 du chapitre II, est insérée une section 1 </w:t>
      </w:r>
      <w:proofErr w:type="gramStart"/>
      <w:r w:rsidRPr="00876196">
        <w:rPr>
          <w:sz w:val="20"/>
          <w:szCs w:val="20"/>
        </w:rPr>
        <w:t>bis ainsi rédigée</w:t>
      </w:r>
      <w:proofErr w:type="gramEnd"/>
      <w:r w:rsidRPr="00876196">
        <w:rPr>
          <w:sz w:val="20"/>
          <w:szCs w:val="20"/>
        </w:rPr>
        <w:t xml:space="preserve"> :</w:t>
      </w:r>
    </w:p>
    <w:p w14:paraId="4202A68B" w14:textId="77777777" w:rsidR="003E3695" w:rsidRPr="00876196" w:rsidRDefault="003E3695" w:rsidP="003E3695">
      <w:pPr>
        <w:jc w:val="both"/>
        <w:rPr>
          <w:sz w:val="20"/>
          <w:szCs w:val="20"/>
        </w:rPr>
      </w:pPr>
      <w:r w:rsidRPr="00876196">
        <w:rPr>
          <w:sz w:val="20"/>
          <w:szCs w:val="20"/>
        </w:rPr>
        <w:br/>
        <w:t>« Section 1 bis</w:t>
      </w:r>
      <w:r w:rsidRPr="00876196">
        <w:rPr>
          <w:sz w:val="20"/>
          <w:szCs w:val="20"/>
        </w:rPr>
        <w:br/>
        <w:t>« De l'atteinte à l'intégrité de la personne résultant d'une intoxication volontaire</w:t>
      </w:r>
    </w:p>
    <w:p w14:paraId="7ABC0998" w14:textId="77777777" w:rsidR="003E3695" w:rsidRPr="00876196" w:rsidRDefault="003E3695" w:rsidP="003E3695">
      <w:pPr>
        <w:jc w:val="both"/>
        <w:rPr>
          <w:sz w:val="20"/>
          <w:szCs w:val="20"/>
        </w:rPr>
      </w:pPr>
      <w:r w:rsidRPr="00876196">
        <w:rPr>
          <w:sz w:val="20"/>
          <w:szCs w:val="20"/>
        </w:rPr>
        <w:br/>
        <w:t>« Art. 222-18-4.-Est puni des peines suivantes le fait pour une personne d'avoir consommé volontairement, de façon illicite ou manifestement excessive, des substances psychoactives en ayant connaissance du fait que cette consommation est susceptible de la conduire à mettre délibérément autrui en danger, lorsque cette consommation a entraîné un trouble psychique ou neuropsychique temporaire sous l'empire duquel elle a commis des tortures, actes de barbarie ou violences dont elle est déclarée pénalement irresponsable en application du premier alinéa de l'article 122-1 :</w:t>
      </w:r>
      <w:r w:rsidRPr="00876196">
        <w:rPr>
          <w:sz w:val="20"/>
          <w:szCs w:val="20"/>
        </w:rPr>
        <w:br/>
        <w:t>« 1° Sept ans d'emprisonnement et 100 000 euros d'amende, si les tortures, actes de barbarie ou violences ont entraîné la mort ;</w:t>
      </w:r>
      <w:r w:rsidRPr="00876196">
        <w:rPr>
          <w:sz w:val="20"/>
          <w:szCs w:val="20"/>
        </w:rPr>
        <w:br/>
        <w:t>« 2° Cinq ans d'emprisonnement et 75 000 euros d'amende, si les tortures, actes de barbarie ou violences ont entraîné une mutilation ou une infirmité permanente ;</w:t>
      </w:r>
      <w:r w:rsidRPr="00876196">
        <w:rPr>
          <w:sz w:val="20"/>
          <w:szCs w:val="20"/>
        </w:rPr>
        <w:br/>
        <w:t>« 3° Deux ans d'emprisonnement et 30 000 euros d'amende, si les tortures, actes de barbarie ou violences ont entraîné une incapacité totale de travail pendant plus de huit jours.</w:t>
      </w:r>
      <w:r w:rsidRPr="00876196">
        <w:rPr>
          <w:sz w:val="20"/>
          <w:szCs w:val="20"/>
        </w:rPr>
        <w:br/>
        <w:t>« Si l'infraction prévue au premier alinéa du présent article a été commise par une personne qui a été précédemment déclarée pénalement irresponsable d'un homicide volontaire en application du premier alinéa de l'article 122-1 en raison d'une abolition de son discernement ou du contrôle de ses actes résultant d'un trouble psychique ou neuropsychique temporaire provoqué par la même consommation volontaire de substances psychoactives, les peines sont portées à dix ans d'emprisonnement et 150 000 euros d'amende dans le cas prévu au 1° du présent article, à sept ans d'emprisonnement et 75 000 euros d'amende dans le cas prévu au 2° et à trois ans d'emprisonnement et 45 000 euros d'amende dans le cas prévu au 3°. Dans les cas prévus au présent alinéa, les articles 132-8 et 132-9 ne sont pas applicables. » ;</w:t>
      </w:r>
    </w:p>
    <w:p w14:paraId="1AC90A07" w14:textId="77777777" w:rsidR="003E3695" w:rsidRPr="00876196" w:rsidRDefault="003E3695" w:rsidP="003E3695">
      <w:pPr>
        <w:jc w:val="both"/>
        <w:rPr>
          <w:sz w:val="20"/>
          <w:szCs w:val="20"/>
        </w:rPr>
      </w:pPr>
      <w:r w:rsidRPr="00876196">
        <w:rPr>
          <w:sz w:val="20"/>
          <w:szCs w:val="20"/>
        </w:rPr>
        <w:br/>
        <w:t>5° Au premier alinéa de l'article 222-45, après la référence : « 1, », est insérée la référence : « 1 bis, » ;</w:t>
      </w:r>
      <w:r w:rsidRPr="00876196">
        <w:rPr>
          <w:sz w:val="20"/>
          <w:szCs w:val="20"/>
        </w:rPr>
        <w:br/>
        <w:t>6° Au premier alinéa de l'article 222-48-1, après la première occurrence du mot : « articles », est insérée la référence : « 222-18-4 et » ;</w:t>
      </w:r>
      <w:r w:rsidRPr="00876196">
        <w:rPr>
          <w:sz w:val="20"/>
          <w:szCs w:val="20"/>
        </w:rPr>
        <w:br/>
        <w:t>7° Le paragraphe 1 de la section 3 du chapitre II est complété par un article 222-26-2 ainsi rédigé :</w:t>
      </w:r>
    </w:p>
    <w:p w14:paraId="2D92611F" w14:textId="77777777" w:rsidR="003E3695" w:rsidRPr="00876196" w:rsidRDefault="003E3695" w:rsidP="003E3695">
      <w:pPr>
        <w:jc w:val="both"/>
        <w:rPr>
          <w:sz w:val="20"/>
          <w:szCs w:val="20"/>
        </w:rPr>
      </w:pPr>
      <w:r w:rsidRPr="00876196">
        <w:rPr>
          <w:sz w:val="20"/>
          <w:szCs w:val="20"/>
        </w:rPr>
        <w:br/>
        <w:t xml:space="preserve">« Art. 222-26-2.-Est puni des peines suivantes le fait pour une personne d'avoir consommé volontairement, de façon illicite ou manifestement excessive, des substances psychoactives en ayant connaissance du fait que cette consommation est susceptible de la conduire à mettre délibérément autrui en danger, lorsque cette consommation a entraîné un trouble psychique ou neuropsychique temporaire sous l'empire duquel elle a commis un viol dont elle est déclarée pénalement irresponsable en application du premier alinéa de l'article </w:t>
      </w:r>
      <w:r w:rsidRPr="00876196">
        <w:rPr>
          <w:sz w:val="20"/>
          <w:szCs w:val="20"/>
        </w:rPr>
        <w:lastRenderedPageBreak/>
        <w:t>122-1 :</w:t>
      </w:r>
      <w:r w:rsidRPr="00876196">
        <w:rPr>
          <w:sz w:val="20"/>
          <w:szCs w:val="20"/>
        </w:rPr>
        <w:br/>
        <w:t>« 1° Dix ans d'emprisonnement et 150 000 euros d'amende, si le viol a été commis avec des tortures ou des actes de barbarie ou s'il a entraîné la mort ;</w:t>
      </w:r>
      <w:r w:rsidRPr="00876196">
        <w:rPr>
          <w:sz w:val="20"/>
          <w:szCs w:val="20"/>
        </w:rPr>
        <w:br/>
        <w:t>« 2° Sept ans d'emprisonnement et 100 000 euros d'amende dans les autres cas.</w:t>
      </w:r>
      <w:r w:rsidRPr="00876196">
        <w:rPr>
          <w:sz w:val="20"/>
          <w:szCs w:val="20"/>
        </w:rPr>
        <w:br/>
        <w:t>« Si l'infraction mentionnée au premier alinéa du présent article a été commise par une personne qui a été précédemment déclarée pénalement irresponsable d'un homicide volontaire en application du premier alinéa de l'article 122-1 en raison d'une abolition de son discernement ou du contrôle de ses actes résultant d'un trouble psychique ou neuropsychique provoqué par la même consommation volontaire de substances psychoactives, la peine prévue au 1° du présent article est portée à quinze ans de réclusion criminelle et celle prévue au 2° est portée à dix ans d'emprisonnement et à 150 000 euros d'amende. Dans les cas prévus au présent alinéa, les articles 132-8 et 132-9 ne sont pas applicables. »</w:t>
      </w:r>
    </w:p>
    <w:p w14:paraId="63A4AD0A" w14:textId="77777777" w:rsidR="003E3695" w:rsidRPr="00876196" w:rsidRDefault="003E3695" w:rsidP="003E3695">
      <w:pPr>
        <w:jc w:val="both"/>
        <w:rPr>
          <w:sz w:val="20"/>
          <w:szCs w:val="20"/>
        </w:rPr>
      </w:pPr>
    </w:p>
    <w:p w14:paraId="3F8F3D1D" w14:textId="77777777" w:rsidR="003E3695" w:rsidRDefault="003E3695" w:rsidP="003E3695">
      <w:pPr>
        <w:jc w:val="both"/>
      </w:pPr>
    </w:p>
    <w:p w14:paraId="75284B43" w14:textId="77777777" w:rsidR="003E3695" w:rsidRPr="00F464DB" w:rsidRDefault="003E3695" w:rsidP="003E3695">
      <w:pPr>
        <w:jc w:val="both"/>
      </w:pPr>
    </w:p>
    <w:p w14:paraId="40679483" w14:textId="77777777" w:rsidR="006D2B46" w:rsidRDefault="006D2B46"/>
    <w:sectPr w:rsidR="006D2B46" w:rsidSect="003E3695">
      <w:pgSz w:w="11880" w:h="16800"/>
      <w:pgMar w:top="1417" w:right="1701" w:bottom="1417" w:left="1701" w:header="1077" w:footer="107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20002A87" w:usb1="00000000" w:usb2="00000000" w:usb3="00000000" w:csb0="000001FF" w:csb1="00000000"/>
  </w:font>
  <w:font w:name="`E0_ò">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1060"/>
        </w:tabs>
        <w:ind w:left="1060" w:hanging="360"/>
      </w:pPr>
      <w:rPr>
        <w:rFonts w:ascii="Times New Roman" w:hAnsi="Times New Roman" w:hint="default"/>
      </w:rPr>
    </w:lvl>
  </w:abstractNum>
  <w:abstractNum w:abstractNumId="1" w15:restartNumberingAfterBreak="0">
    <w:nsid w:val="53C0407E"/>
    <w:multiLevelType w:val="multilevel"/>
    <w:tmpl w:val="BE32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948803">
    <w:abstractNumId w:val="0"/>
  </w:num>
  <w:num w:numId="2" w16cid:durableId="153846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95"/>
    <w:rsid w:val="00002020"/>
    <w:rsid w:val="00042A0D"/>
    <w:rsid w:val="003E3695"/>
    <w:rsid w:val="00480182"/>
    <w:rsid w:val="006D2B46"/>
    <w:rsid w:val="008D4934"/>
    <w:rsid w:val="00B72698"/>
    <w:rsid w:val="00F544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A7E6"/>
  <w15:chartTrackingRefBased/>
  <w15:docId w15:val="{40EBB168-E332-C940-B9EC-D7799148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95"/>
    <w:pPr>
      <w:jc w:val="left"/>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3E3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3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36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36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36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369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369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369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369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36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36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36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36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36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36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36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36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3695"/>
    <w:rPr>
      <w:rFonts w:eastAsiaTheme="majorEastAsia" w:cstheme="majorBidi"/>
      <w:color w:val="272727" w:themeColor="text1" w:themeTint="D8"/>
    </w:rPr>
  </w:style>
  <w:style w:type="paragraph" w:styleId="Titre">
    <w:name w:val="Title"/>
    <w:basedOn w:val="Normal"/>
    <w:next w:val="Normal"/>
    <w:link w:val="TitreCar"/>
    <w:uiPriority w:val="10"/>
    <w:qFormat/>
    <w:rsid w:val="003E369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36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369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36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369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E3695"/>
    <w:rPr>
      <w:i/>
      <w:iCs/>
      <w:color w:val="404040" w:themeColor="text1" w:themeTint="BF"/>
    </w:rPr>
  </w:style>
  <w:style w:type="paragraph" w:styleId="Paragraphedeliste">
    <w:name w:val="List Paragraph"/>
    <w:basedOn w:val="Normal"/>
    <w:uiPriority w:val="34"/>
    <w:qFormat/>
    <w:rsid w:val="003E3695"/>
    <w:pPr>
      <w:ind w:left="720"/>
      <w:contextualSpacing/>
    </w:pPr>
  </w:style>
  <w:style w:type="character" w:styleId="Accentuationintense">
    <w:name w:val="Intense Emphasis"/>
    <w:basedOn w:val="Policepardfaut"/>
    <w:uiPriority w:val="21"/>
    <w:qFormat/>
    <w:rsid w:val="003E3695"/>
    <w:rPr>
      <w:i/>
      <w:iCs/>
      <w:color w:val="0F4761" w:themeColor="accent1" w:themeShade="BF"/>
    </w:rPr>
  </w:style>
  <w:style w:type="paragraph" w:styleId="Citationintense">
    <w:name w:val="Intense Quote"/>
    <w:basedOn w:val="Normal"/>
    <w:next w:val="Normal"/>
    <w:link w:val="CitationintenseCar"/>
    <w:uiPriority w:val="30"/>
    <w:qFormat/>
    <w:rsid w:val="003E3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3695"/>
    <w:rPr>
      <w:i/>
      <w:iCs/>
      <w:color w:val="0F4761" w:themeColor="accent1" w:themeShade="BF"/>
    </w:rPr>
  </w:style>
  <w:style w:type="character" w:styleId="Rfrenceintense">
    <w:name w:val="Intense Reference"/>
    <w:basedOn w:val="Policepardfaut"/>
    <w:uiPriority w:val="32"/>
    <w:qFormat/>
    <w:rsid w:val="003E3695"/>
    <w:rPr>
      <w:b/>
      <w:bCs/>
      <w:smallCaps/>
      <w:color w:val="0F4761" w:themeColor="accent1" w:themeShade="BF"/>
      <w:spacing w:val="5"/>
    </w:rPr>
  </w:style>
  <w:style w:type="paragraph" w:styleId="Corpsdetexte">
    <w:name w:val="Body Text"/>
    <w:basedOn w:val="Normal"/>
    <w:link w:val="CorpsdetexteCar"/>
    <w:rsid w:val="003E3695"/>
    <w:pPr>
      <w:jc w:val="both"/>
    </w:pPr>
    <w:rPr>
      <w:rFonts w:ascii="Comic Sans MS" w:hAnsi="Comic Sans MS"/>
      <w:b/>
    </w:rPr>
  </w:style>
  <w:style w:type="character" w:customStyle="1" w:styleId="CorpsdetexteCar">
    <w:name w:val="Corps de texte Car"/>
    <w:basedOn w:val="Policepardfaut"/>
    <w:link w:val="Corpsdetexte"/>
    <w:rsid w:val="003E3695"/>
    <w:rPr>
      <w:rFonts w:ascii="Comic Sans MS" w:eastAsia="Times New Roman" w:hAnsi="Comic Sans MS" w:cs="Times New Roman"/>
      <w:b/>
      <w:lang w:eastAsia="fr-FR"/>
    </w:rPr>
  </w:style>
  <w:style w:type="character" w:styleId="Lienhypertexte">
    <w:name w:val="Hyperlink"/>
    <w:uiPriority w:val="99"/>
    <w:unhideWhenUsed/>
    <w:rsid w:val="003E3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jorf/article_jo/JORFARTI0000450679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jorf/article_jo/JORFARTI000045067931" TargetMode="External"/><Relationship Id="rId5" Type="http://schemas.openxmlformats.org/officeDocument/2006/relationships/hyperlink" Target="https://www.legifrance.gouv.fr/jorf/article_jo/JORFARTI0000450679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4210</Words>
  <Characters>23156</Characters>
  <Application>Microsoft Office Word</Application>
  <DocSecurity>0</DocSecurity>
  <Lines>192</Lines>
  <Paragraphs>54</Paragraphs>
  <ScaleCrop>false</ScaleCrop>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debove</dc:creator>
  <cp:keywords/>
  <dc:description/>
  <cp:lastModifiedBy>IDAI Relevé de notes</cp:lastModifiedBy>
  <cp:revision>2</cp:revision>
  <dcterms:created xsi:type="dcterms:W3CDTF">2026-03-16T12:56:00Z</dcterms:created>
  <dcterms:modified xsi:type="dcterms:W3CDTF">2026-03-16T12:56:00Z</dcterms:modified>
</cp:coreProperties>
</file>