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9D0C" w14:textId="77777777" w:rsidR="002809E8" w:rsidRPr="002809E8" w:rsidRDefault="002809E8" w:rsidP="002809E8">
      <w:pPr>
        <w:jc w:val="center"/>
        <w:rPr>
          <w:rStyle w:val="Lienhypertexte"/>
          <w:b/>
          <w:noProof/>
          <w:color w:val="auto"/>
          <w:u w:val="none"/>
        </w:rPr>
      </w:pPr>
      <w:r w:rsidRPr="002809E8">
        <w:rPr>
          <w:rStyle w:val="Lienhypertexte"/>
          <w:b/>
          <w:noProof/>
          <w:color w:val="auto"/>
          <w:u w:val="none"/>
        </w:rPr>
        <w:t>LE REGIME GENERAL DE L’OBLIGATION</w:t>
      </w:r>
    </w:p>
    <w:p w14:paraId="74F6B018" w14:textId="77777777" w:rsidR="002809E8" w:rsidRDefault="002809E8" w:rsidP="002809E8">
      <w:pPr>
        <w:jc w:val="center"/>
        <w:rPr>
          <w:b/>
        </w:rPr>
      </w:pPr>
      <w:r w:rsidRPr="002809E8">
        <w:rPr>
          <w:b/>
        </w:rPr>
        <w:t>PLAN DE COURS</w:t>
      </w:r>
    </w:p>
    <w:p w14:paraId="36CE87A6" w14:textId="77777777" w:rsidR="002809E8" w:rsidRPr="002809E8" w:rsidRDefault="00AF2CA7" w:rsidP="002809E8">
      <w:pPr>
        <w:jc w:val="center"/>
        <w:rPr>
          <w:b/>
        </w:rPr>
      </w:pPr>
      <w:r>
        <w:rPr>
          <w:b/>
        </w:rPr>
        <w:t>2024/2025</w:t>
      </w:r>
    </w:p>
    <w:p w14:paraId="2C36B9C2" w14:textId="77777777" w:rsidR="002809E8" w:rsidRDefault="002809E8" w:rsidP="002809E8">
      <w:pPr>
        <w:jc w:val="center"/>
      </w:pPr>
      <w:r w:rsidRPr="002809E8">
        <w:t>Mme Anouk Bories</w:t>
      </w:r>
    </w:p>
    <w:p w14:paraId="4A8101C5" w14:textId="77777777" w:rsidR="002809E8" w:rsidRPr="002809E8" w:rsidRDefault="002809E8" w:rsidP="002809E8">
      <w:pPr>
        <w:jc w:val="center"/>
      </w:pPr>
    </w:p>
    <w:p w14:paraId="522DC88B" w14:textId="77777777" w:rsidR="002809E8" w:rsidRDefault="002809E8" w:rsidP="002809E8">
      <w:pPr>
        <w:rPr>
          <w:rStyle w:val="Lienhypertexte"/>
          <w:noProof/>
          <w:color w:val="auto"/>
          <w:u w:val="none"/>
        </w:rPr>
      </w:pPr>
    </w:p>
    <w:p w14:paraId="41735E81" w14:textId="77777777" w:rsidR="00343EC3" w:rsidRPr="00343EC3" w:rsidRDefault="00343EC3" w:rsidP="00343EC3">
      <w:pPr>
        <w:pStyle w:val="TM1"/>
        <w:rPr>
          <w:rFonts w:asciiTheme="minorHAnsi" w:eastAsiaTheme="minorEastAsia" w:hAnsiTheme="minorHAnsi"/>
          <w:sz w:val="22"/>
          <w:lang w:eastAsia="fr-FR"/>
        </w:rPr>
      </w:pPr>
      <w:hyperlink w:anchor="_Toc124435065" w:history="1">
        <w:r w:rsidRPr="00343EC3">
          <w:rPr>
            <w:rStyle w:val="Lienhypertexte"/>
            <w:color w:val="auto"/>
            <w:u w:val="none"/>
          </w:rPr>
          <w:t>PREMIERE PARTIE LES MODALITES DE L’OBLIGATION</w:t>
        </w:r>
      </w:hyperlink>
    </w:p>
    <w:p w14:paraId="01FD44D2" w14:textId="77777777" w:rsidR="00343EC3" w:rsidRPr="00343EC3" w:rsidRDefault="00343EC3" w:rsidP="00343EC3">
      <w:pPr>
        <w:pStyle w:val="TM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66" w:history="1">
        <w:r>
          <w:rPr>
            <w:rStyle w:val="Lienhypertexte"/>
            <w:noProof/>
            <w:color w:val="auto"/>
            <w:u w:val="none"/>
          </w:rPr>
          <w:t>C</w:t>
        </w:r>
        <w:r w:rsidRPr="00343EC3">
          <w:rPr>
            <w:rStyle w:val="Lienhypertexte"/>
            <w:noProof/>
            <w:color w:val="auto"/>
            <w:u w:val="none"/>
          </w:rPr>
          <w:t>hapitre I-Les modalités touchant à la prise d’effet de l’obligation : le terme et la condition</w:t>
        </w:r>
      </w:hyperlink>
    </w:p>
    <w:p w14:paraId="6C45EA7A" w14:textId="77777777" w:rsidR="00343EC3" w:rsidRPr="00343EC3" w:rsidRDefault="00343EC3" w:rsidP="00343EC3">
      <w:pPr>
        <w:pStyle w:val="TM3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67" w:history="1">
        <w:r w:rsidRPr="00343EC3">
          <w:rPr>
            <w:rStyle w:val="Lienhypertexte"/>
            <w:noProof/>
            <w:color w:val="auto"/>
            <w:u w:val="none"/>
          </w:rPr>
          <w:t>I-Le terme</w:t>
        </w:r>
      </w:hyperlink>
    </w:p>
    <w:p w14:paraId="51414162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68" w:history="1">
        <w:r w:rsidRPr="00343EC3">
          <w:rPr>
            <w:rStyle w:val="Lienhypertexte"/>
            <w:noProof/>
            <w:color w:val="auto"/>
            <w:u w:val="none"/>
          </w:rPr>
          <w:t>A-La notion de terme</w:t>
        </w:r>
      </w:hyperlink>
    </w:p>
    <w:p w14:paraId="4F762F22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69" w:history="1">
        <w:r w:rsidRPr="00343EC3">
          <w:rPr>
            <w:rStyle w:val="Lienhypertexte"/>
            <w:noProof/>
            <w:color w:val="auto"/>
            <w:u w:val="none"/>
          </w:rPr>
          <w:t>B-Le régime du terme</w:t>
        </w:r>
      </w:hyperlink>
    </w:p>
    <w:p w14:paraId="03FAFFBA" w14:textId="77777777" w:rsidR="00343EC3" w:rsidRPr="00343EC3" w:rsidRDefault="00343EC3" w:rsidP="00343EC3">
      <w:pPr>
        <w:pStyle w:val="TM3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70" w:history="1">
        <w:r w:rsidRPr="00343EC3">
          <w:rPr>
            <w:rStyle w:val="Lienhypertexte"/>
            <w:noProof/>
            <w:color w:val="auto"/>
            <w:u w:val="none"/>
          </w:rPr>
          <w:t>II-La condition</w:t>
        </w:r>
      </w:hyperlink>
    </w:p>
    <w:p w14:paraId="4F3123EA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71" w:history="1">
        <w:r w:rsidRPr="00343EC3">
          <w:rPr>
            <w:rStyle w:val="Lienhypertexte"/>
            <w:noProof/>
            <w:color w:val="auto"/>
            <w:u w:val="none"/>
          </w:rPr>
          <w:t>A-La notion de condition</w:t>
        </w:r>
      </w:hyperlink>
    </w:p>
    <w:p w14:paraId="2B3B9B54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72" w:history="1">
        <w:r w:rsidRPr="00343EC3">
          <w:rPr>
            <w:rStyle w:val="Lienhypertexte"/>
            <w:noProof/>
            <w:color w:val="auto"/>
            <w:u w:val="none"/>
          </w:rPr>
          <w:t>B-Le régime de la condition</w:t>
        </w:r>
      </w:hyperlink>
    </w:p>
    <w:p w14:paraId="28C2BEC2" w14:textId="77777777" w:rsidR="00343EC3" w:rsidRPr="00343EC3" w:rsidRDefault="00343EC3" w:rsidP="00343EC3">
      <w:pPr>
        <w:pStyle w:val="TM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73" w:history="1">
        <w:r>
          <w:rPr>
            <w:rStyle w:val="Lienhypertexte"/>
            <w:noProof/>
            <w:color w:val="auto"/>
            <w:u w:val="none"/>
          </w:rPr>
          <w:t>C</w:t>
        </w:r>
        <w:r w:rsidRPr="00343EC3">
          <w:rPr>
            <w:rStyle w:val="Lienhypertexte"/>
            <w:noProof/>
            <w:color w:val="auto"/>
            <w:u w:val="none"/>
          </w:rPr>
          <w:t>hapitre II-Les modalités touchant à l’objet ou aux sujets de l’obligation : l’obligation plurale</w:t>
        </w:r>
      </w:hyperlink>
    </w:p>
    <w:p w14:paraId="521CD8C4" w14:textId="77777777" w:rsidR="00343EC3" w:rsidRPr="00343EC3" w:rsidRDefault="00343EC3" w:rsidP="00343EC3">
      <w:pPr>
        <w:pStyle w:val="TM3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74" w:history="1">
        <w:r w:rsidRPr="00343EC3">
          <w:rPr>
            <w:rStyle w:val="Lienhypertexte"/>
            <w:noProof/>
            <w:color w:val="auto"/>
            <w:u w:val="none"/>
          </w:rPr>
          <w:t>I-La pluralité d’objets</w:t>
        </w:r>
      </w:hyperlink>
    </w:p>
    <w:p w14:paraId="37B4AB33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75" w:history="1">
        <w:r w:rsidRPr="00343EC3">
          <w:rPr>
            <w:rStyle w:val="Lienhypertexte"/>
            <w:noProof/>
            <w:color w:val="auto"/>
            <w:u w:val="none"/>
          </w:rPr>
          <w:t>A-L’obligation cumulative</w:t>
        </w:r>
      </w:hyperlink>
    </w:p>
    <w:p w14:paraId="29188EC2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76" w:history="1">
        <w:r w:rsidRPr="00343EC3">
          <w:rPr>
            <w:rStyle w:val="Lienhypertexte"/>
            <w:noProof/>
            <w:color w:val="auto"/>
            <w:u w:val="none"/>
          </w:rPr>
          <w:t>B-L’obligation alternative</w:t>
        </w:r>
      </w:hyperlink>
    </w:p>
    <w:p w14:paraId="2E296A0A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77" w:history="1">
        <w:r w:rsidRPr="00343EC3">
          <w:rPr>
            <w:rStyle w:val="Lienhypertexte"/>
            <w:noProof/>
            <w:color w:val="auto"/>
            <w:u w:val="none"/>
          </w:rPr>
          <w:t>C-L’obligation facultative</w:t>
        </w:r>
      </w:hyperlink>
    </w:p>
    <w:p w14:paraId="05D5D901" w14:textId="77777777" w:rsidR="00343EC3" w:rsidRPr="00343EC3" w:rsidRDefault="00343EC3" w:rsidP="00343EC3">
      <w:pPr>
        <w:pStyle w:val="TM3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78" w:history="1">
        <w:r w:rsidRPr="00343EC3">
          <w:rPr>
            <w:rStyle w:val="Lienhypertexte"/>
            <w:noProof/>
            <w:color w:val="auto"/>
            <w:u w:val="none"/>
          </w:rPr>
          <w:t>II-La pluralité de sujets</w:t>
        </w:r>
      </w:hyperlink>
    </w:p>
    <w:p w14:paraId="77F2A6E5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79" w:history="1">
        <w:r w:rsidRPr="00343EC3">
          <w:rPr>
            <w:rStyle w:val="Lienhypertexte"/>
            <w:noProof/>
            <w:color w:val="auto"/>
            <w:u w:val="none"/>
          </w:rPr>
          <w:t>A-Principe</w:t>
        </w:r>
      </w:hyperlink>
    </w:p>
    <w:p w14:paraId="32F98D7D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80" w:history="1">
        <w:r w:rsidRPr="00343EC3">
          <w:rPr>
            <w:rStyle w:val="Lienhypertexte"/>
            <w:noProof/>
            <w:color w:val="auto"/>
            <w:u w:val="none"/>
          </w:rPr>
          <w:t>B-Exceptions</w:t>
        </w:r>
      </w:hyperlink>
    </w:p>
    <w:p w14:paraId="2AB5B646" w14:textId="77777777" w:rsidR="00343EC3" w:rsidRPr="00343EC3" w:rsidRDefault="00343EC3" w:rsidP="00343EC3">
      <w:pPr>
        <w:pStyle w:val="TM1"/>
        <w:rPr>
          <w:rFonts w:asciiTheme="minorHAnsi" w:eastAsiaTheme="minorEastAsia" w:hAnsiTheme="minorHAnsi"/>
          <w:sz w:val="22"/>
          <w:lang w:eastAsia="fr-FR"/>
        </w:rPr>
      </w:pPr>
      <w:hyperlink w:anchor="_Toc124435081" w:history="1">
        <w:r w:rsidRPr="00343EC3">
          <w:rPr>
            <w:rStyle w:val="Lienhypertexte"/>
            <w:color w:val="auto"/>
            <w:u w:val="none"/>
          </w:rPr>
          <w:t>DEUXIEME PARTIE LES OPERATIONS SUR L’OBLIGATION</w:t>
        </w:r>
      </w:hyperlink>
    </w:p>
    <w:p w14:paraId="181E684F" w14:textId="77777777" w:rsidR="00343EC3" w:rsidRPr="00343EC3" w:rsidRDefault="00343EC3" w:rsidP="00343EC3">
      <w:pPr>
        <w:pStyle w:val="TM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82" w:history="1">
        <w:r w:rsidRPr="00343EC3">
          <w:rPr>
            <w:rStyle w:val="Lienhypertexte"/>
            <w:noProof/>
            <w:color w:val="auto"/>
            <w:u w:val="none"/>
          </w:rPr>
          <w:t>Chapitre I-Les opérations qui ne font pas circuler l’obligation</w:t>
        </w:r>
      </w:hyperlink>
    </w:p>
    <w:p w14:paraId="6194601C" w14:textId="77777777" w:rsidR="00343EC3" w:rsidRPr="00343EC3" w:rsidRDefault="00343EC3" w:rsidP="00343EC3">
      <w:pPr>
        <w:pStyle w:val="TM3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83" w:history="1">
        <w:r w:rsidRPr="00343EC3">
          <w:rPr>
            <w:rStyle w:val="Lienhypertexte"/>
            <w:noProof/>
            <w:color w:val="auto"/>
            <w:u w:val="none"/>
          </w:rPr>
          <w:t>I-La novation</w:t>
        </w:r>
      </w:hyperlink>
    </w:p>
    <w:p w14:paraId="143801F8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84" w:history="1">
        <w:r w:rsidRPr="00343EC3">
          <w:rPr>
            <w:rStyle w:val="Lienhypertexte"/>
            <w:noProof/>
            <w:color w:val="auto"/>
            <w:u w:val="none"/>
          </w:rPr>
          <w:t>A-Classification applicable à la novation</w:t>
        </w:r>
      </w:hyperlink>
    </w:p>
    <w:p w14:paraId="43B03ADF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85" w:history="1">
        <w:r w:rsidRPr="00343EC3">
          <w:rPr>
            <w:rStyle w:val="Lienhypertexte"/>
            <w:noProof/>
            <w:color w:val="auto"/>
            <w:u w:val="none"/>
          </w:rPr>
          <w:t>B-Conditions de la novation</w:t>
        </w:r>
      </w:hyperlink>
    </w:p>
    <w:p w14:paraId="5ACF4431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86" w:history="1">
        <w:r w:rsidRPr="00343EC3">
          <w:rPr>
            <w:rStyle w:val="Lienhypertexte"/>
            <w:noProof/>
            <w:color w:val="auto"/>
            <w:u w:val="none"/>
          </w:rPr>
          <w:t>C-Régime de la novation</w:t>
        </w:r>
      </w:hyperlink>
    </w:p>
    <w:p w14:paraId="5C77FB11" w14:textId="77777777" w:rsidR="00343EC3" w:rsidRPr="00343EC3" w:rsidRDefault="00343EC3" w:rsidP="00343EC3">
      <w:pPr>
        <w:pStyle w:val="TM3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87" w:history="1">
        <w:r w:rsidRPr="00343EC3">
          <w:rPr>
            <w:rStyle w:val="Lienhypertexte"/>
            <w:noProof/>
            <w:color w:val="auto"/>
            <w:u w:val="none"/>
          </w:rPr>
          <w:t>II-La délégation</w:t>
        </w:r>
      </w:hyperlink>
    </w:p>
    <w:p w14:paraId="01E7B144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88" w:history="1">
        <w:r w:rsidRPr="00343EC3">
          <w:rPr>
            <w:rStyle w:val="Lienhypertexte"/>
            <w:noProof/>
            <w:color w:val="auto"/>
            <w:u w:val="none"/>
          </w:rPr>
          <w:t>A-Généralités</w:t>
        </w:r>
      </w:hyperlink>
    </w:p>
    <w:p w14:paraId="30883B5F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89" w:history="1">
        <w:r w:rsidRPr="00343EC3">
          <w:rPr>
            <w:rStyle w:val="Lienhypertexte"/>
            <w:noProof/>
            <w:color w:val="auto"/>
            <w:u w:val="none"/>
          </w:rPr>
          <w:t>B-La délégation simple</w:t>
        </w:r>
      </w:hyperlink>
    </w:p>
    <w:p w14:paraId="755A71CB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90" w:history="1">
        <w:r w:rsidRPr="00343EC3">
          <w:rPr>
            <w:rStyle w:val="Lienhypertexte"/>
            <w:noProof/>
            <w:color w:val="auto"/>
            <w:u w:val="none"/>
          </w:rPr>
          <w:t>C-La délégation novatoire</w:t>
        </w:r>
      </w:hyperlink>
    </w:p>
    <w:p w14:paraId="29CC7820" w14:textId="77777777" w:rsidR="00343EC3" w:rsidRPr="00343EC3" w:rsidRDefault="00343EC3" w:rsidP="00343EC3">
      <w:pPr>
        <w:pStyle w:val="TM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91" w:history="1">
        <w:r w:rsidRPr="00343EC3">
          <w:rPr>
            <w:rStyle w:val="Lienhypertexte"/>
            <w:noProof/>
            <w:color w:val="auto"/>
            <w:u w:val="none"/>
          </w:rPr>
          <w:t>Chapitre II-Les opérations qui font circuler l’obligation</w:t>
        </w:r>
      </w:hyperlink>
    </w:p>
    <w:p w14:paraId="24293560" w14:textId="77777777" w:rsidR="00343EC3" w:rsidRPr="00343EC3" w:rsidRDefault="00343EC3" w:rsidP="00343EC3">
      <w:pPr>
        <w:pStyle w:val="TM3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92" w:history="1">
        <w:r w:rsidRPr="00343EC3">
          <w:rPr>
            <w:rStyle w:val="Lienhypertexte"/>
            <w:noProof/>
            <w:color w:val="auto"/>
            <w:u w:val="none"/>
          </w:rPr>
          <w:t>I-La cession de créance</w:t>
        </w:r>
      </w:hyperlink>
    </w:p>
    <w:p w14:paraId="5BF15DDE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93" w:history="1">
        <w:r w:rsidRPr="00343EC3">
          <w:rPr>
            <w:rStyle w:val="Lienhypertexte"/>
            <w:noProof/>
            <w:color w:val="auto"/>
            <w:u w:val="none"/>
          </w:rPr>
          <w:t>A-La cession de créance de droit commun</w:t>
        </w:r>
      </w:hyperlink>
    </w:p>
    <w:p w14:paraId="55AAFE1D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94" w:history="1">
        <w:r w:rsidRPr="00343EC3">
          <w:rPr>
            <w:rStyle w:val="Lienhypertexte"/>
            <w:noProof/>
            <w:color w:val="auto"/>
            <w:u w:val="none"/>
          </w:rPr>
          <w:t>B-Les cessions de créances relevant de régimes spéciaux</w:t>
        </w:r>
      </w:hyperlink>
    </w:p>
    <w:p w14:paraId="1BE39107" w14:textId="77777777" w:rsidR="00343EC3" w:rsidRPr="00343EC3" w:rsidRDefault="00343EC3" w:rsidP="00343EC3">
      <w:pPr>
        <w:pStyle w:val="TM3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95" w:history="1">
        <w:r w:rsidRPr="00343EC3">
          <w:rPr>
            <w:rStyle w:val="Lienhypertexte"/>
            <w:noProof/>
            <w:color w:val="auto"/>
            <w:u w:val="none"/>
          </w:rPr>
          <w:t>II-La cession de dette</w:t>
        </w:r>
      </w:hyperlink>
    </w:p>
    <w:p w14:paraId="043F8201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96" w:history="1">
        <w:r w:rsidRPr="00343EC3">
          <w:rPr>
            <w:rStyle w:val="Lienhypertexte"/>
            <w:noProof/>
            <w:color w:val="auto"/>
            <w:u w:val="none"/>
          </w:rPr>
          <w:t>A-Les conditions de la cession de dette</w:t>
        </w:r>
      </w:hyperlink>
    </w:p>
    <w:p w14:paraId="136B0648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97" w:history="1">
        <w:r w:rsidRPr="00343EC3">
          <w:rPr>
            <w:rStyle w:val="Lienhypertexte"/>
            <w:noProof/>
            <w:color w:val="auto"/>
            <w:u w:val="none"/>
          </w:rPr>
          <w:t>B-Les effets de la cession de dette</w:t>
        </w:r>
      </w:hyperlink>
    </w:p>
    <w:p w14:paraId="0BDCA830" w14:textId="77777777" w:rsidR="00343EC3" w:rsidRPr="00343EC3" w:rsidRDefault="00343EC3" w:rsidP="00343EC3">
      <w:pPr>
        <w:pStyle w:val="TM1"/>
        <w:rPr>
          <w:rFonts w:asciiTheme="minorHAnsi" w:eastAsiaTheme="minorEastAsia" w:hAnsiTheme="minorHAnsi"/>
          <w:sz w:val="22"/>
          <w:lang w:eastAsia="fr-FR"/>
        </w:rPr>
      </w:pPr>
      <w:hyperlink w:anchor="_Toc124435098" w:history="1">
        <w:r w:rsidRPr="00343EC3">
          <w:rPr>
            <w:rStyle w:val="Lienhypertexte"/>
            <w:color w:val="auto"/>
            <w:u w:val="none"/>
          </w:rPr>
          <w:t>TROISIEME PARTIE L’EXTINCTION DE L’OBLIGATION</w:t>
        </w:r>
      </w:hyperlink>
    </w:p>
    <w:p w14:paraId="2B2CFD79" w14:textId="77777777" w:rsidR="00343EC3" w:rsidRPr="00343EC3" w:rsidRDefault="00343EC3" w:rsidP="00343EC3">
      <w:pPr>
        <w:pStyle w:val="TM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099" w:history="1">
        <w:r w:rsidRPr="00343EC3">
          <w:rPr>
            <w:rStyle w:val="Lienhypertexte"/>
            <w:noProof/>
            <w:color w:val="auto"/>
            <w:u w:val="none"/>
          </w:rPr>
          <w:t>Chapitre I L’extinction de l’obligation avec satisfaction du créancier</w:t>
        </w:r>
      </w:hyperlink>
    </w:p>
    <w:p w14:paraId="7804E218" w14:textId="77777777" w:rsidR="00343EC3" w:rsidRPr="00343EC3" w:rsidRDefault="00343EC3" w:rsidP="00343EC3">
      <w:pPr>
        <w:pStyle w:val="TM3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100" w:history="1">
        <w:r w:rsidRPr="00343EC3">
          <w:rPr>
            <w:rStyle w:val="Lienhypertexte"/>
            <w:noProof/>
            <w:color w:val="auto"/>
            <w:u w:val="none"/>
          </w:rPr>
          <w:t>I-Le paiement</w:t>
        </w:r>
      </w:hyperlink>
    </w:p>
    <w:p w14:paraId="6E62BC6F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101" w:history="1">
        <w:r w:rsidRPr="00343EC3">
          <w:rPr>
            <w:rStyle w:val="Lienhypertexte"/>
            <w:noProof/>
            <w:color w:val="auto"/>
            <w:u w:val="none"/>
          </w:rPr>
          <w:t>A-Le paiement pur et simple</w:t>
        </w:r>
      </w:hyperlink>
    </w:p>
    <w:p w14:paraId="5CE3E921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102" w:history="1">
        <w:r w:rsidRPr="00343EC3">
          <w:rPr>
            <w:rStyle w:val="Lienhypertexte"/>
            <w:noProof/>
            <w:color w:val="auto"/>
            <w:u w:val="none"/>
          </w:rPr>
          <w:t>B-Le paiement avec subrogation</w:t>
        </w:r>
      </w:hyperlink>
    </w:p>
    <w:p w14:paraId="2E738C1A" w14:textId="77777777" w:rsidR="00343EC3" w:rsidRPr="00343EC3" w:rsidRDefault="00343EC3" w:rsidP="00343EC3">
      <w:pPr>
        <w:pStyle w:val="TM3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103" w:history="1">
        <w:r w:rsidRPr="00343EC3">
          <w:rPr>
            <w:rStyle w:val="Lienhypertexte"/>
            <w:noProof/>
            <w:color w:val="auto"/>
            <w:u w:val="none"/>
          </w:rPr>
          <w:t>II-La compensation</w:t>
        </w:r>
      </w:hyperlink>
    </w:p>
    <w:p w14:paraId="21D2979D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104" w:history="1">
        <w:r w:rsidRPr="00343EC3">
          <w:rPr>
            <w:rStyle w:val="Lienhypertexte"/>
            <w:noProof/>
            <w:color w:val="auto"/>
            <w:u w:val="none"/>
          </w:rPr>
          <w:t>A-La compensation légale</w:t>
        </w:r>
      </w:hyperlink>
    </w:p>
    <w:p w14:paraId="270F3788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105" w:history="1">
        <w:r w:rsidRPr="00343EC3">
          <w:rPr>
            <w:rStyle w:val="Lienhypertexte"/>
            <w:noProof/>
            <w:color w:val="auto"/>
            <w:u w:val="none"/>
          </w:rPr>
          <w:t>B-Les compensations spéciales</w:t>
        </w:r>
      </w:hyperlink>
    </w:p>
    <w:p w14:paraId="0DD2198D" w14:textId="77777777" w:rsidR="00343EC3" w:rsidRPr="00343EC3" w:rsidRDefault="00343EC3" w:rsidP="00343EC3">
      <w:pPr>
        <w:pStyle w:val="TM3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106" w:history="1">
        <w:r w:rsidRPr="00343EC3">
          <w:rPr>
            <w:rStyle w:val="Lienhypertexte"/>
            <w:noProof/>
            <w:color w:val="auto"/>
            <w:u w:val="none"/>
          </w:rPr>
          <w:t>III-La confusion</w:t>
        </w:r>
      </w:hyperlink>
    </w:p>
    <w:p w14:paraId="502AF217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107" w:history="1">
        <w:r w:rsidRPr="00343EC3">
          <w:rPr>
            <w:rStyle w:val="Lienhypertexte"/>
            <w:noProof/>
            <w:color w:val="auto"/>
            <w:u w:val="none"/>
          </w:rPr>
          <w:t>A-Les conditions de la confusion</w:t>
        </w:r>
      </w:hyperlink>
    </w:p>
    <w:p w14:paraId="1A963B38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108" w:history="1">
        <w:r w:rsidRPr="00343EC3">
          <w:rPr>
            <w:rStyle w:val="Lienhypertexte"/>
            <w:noProof/>
            <w:color w:val="auto"/>
            <w:u w:val="none"/>
          </w:rPr>
          <w:t>B-Les effets de la confusion</w:t>
        </w:r>
      </w:hyperlink>
    </w:p>
    <w:p w14:paraId="106A852D" w14:textId="77777777" w:rsidR="00343EC3" w:rsidRPr="00343EC3" w:rsidRDefault="00343EC3" w:rsidP="00343EC3">
      <w:pPr>
        <w:pStyle w:val="TM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109" w:history="1">
        <w:r w:rsidRPr="00343EC3">
          <w:rPr>
            <w:rStyle w:val="Lienhypertexte"/>
            <w:noProof/>
            <w:color w:val="auto"/>
            <w:u w:val="none"/>
          </w:rPr>
          <w:t>Chapitre II L’extinction de l’obligation sans satisfaction du créancier</w:t>
        </w:r>
      </w:hyperlink>
    </w:p>
    <w:p w14:paraId="6183BACE" w14:textId="77777777" w:rsidR="00343EC3" w:rsidRPr="00343EC3" w:rsidRDefault="00343EC3" w:rsidP="00343EC3">
      <w:pPr>
        <w:pStyle w:val="TM3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110" w:history="1">
        <w:r w:rsidRPr="00343EC3">
          <w:rPr>
            <w:rStyle w:val="Lienhypertexte"/>
            <w:noProof/>
            <w:color w:val="auto"/>
            <w:u w:val="none"/>
          </w:rPr>
          <w:t>I-La remise de dette : l’extinction de l’obligation par la volonté du créancier</w:t>
        </w:r>
      </w:hyperlink>
    </w:p>
    <w:p w14:paraId="15A2582A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111" w:history="1">
        <w:r w:rsidRPr="00343EC3">
          <w:rPr>
            <w:rStyle w:val="Lienhypertexte"/>
            <w:noProof/>
            <w:color w:val="auto"/>
            <w:u w:val="none"/>
          </w:rPr>
          <w:t>A-L’efficacité du contrat de remise de dette</w:t>
        </w:r>
      </w:hyperlink>
    </w:p>
    <w:p w14:paraId="101D093E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112" w:history="1">
        <w:r w:rsidRPr="00343EC3">
          <w:rPr>
            <w:rStyle w:val="Lienhypertexte"/>
            <w:noProof/>
            <w:color w:val="auto"/>
            <w:u w:val="none"/>
          </w:rPr>
          <w:t>B-Les effets du contrat de remise de dette</w:t>
        </w:r>
      </w:hyperlink>
    </w:p>
    <w:p w14:paraId="44F85C06" w14:textId="77777777" w:rsidR="00343EC3" w:rsidRPr="00343EC3" w:rsidRDefault="00343EC3" w:rsidP="00343EC3">
      <w:pPr>
        <w:pStyle w:val="TM3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113" w:history="1">
        <w:r w:rsidRPr="00343EC3">
          <w:rPr>
            <w:rStyle w:val="Lienhypertexte"/>
            <w:noProof/>
            <w:color w:val="auto"/>
            <w:u w:val="none"/>
          </w:rPr>
          <w:t>II-L’extinction de l’obligation indépendamment de la volonté du créancier</w:t>
        </w:r>
      </w:hyperlink>
    </w:p>
    <w:p w14:paraId="06EF3D7B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114" w:history="1">
        <w:r w:rsidRPr="00343EC3">
          <w:rPr>
            <w:rStyle w:val="Lienhypertexte"/>
            <w:noProof/>
            <w:color w:val="auto"/>
            <w:u w:val="none"/>
          </w:rPr>
          <w:t>A-L’impossibilité d’exécuter</w:t>
        </w:r>
      </w:hyperlink>
    </w:p>
    <w:p w14:paraId="23164F5B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115" w:history="1">
        <w:r w:rsidRPr="00343EC3">
          <w:rPr>
            <w:rStyle w:val="Lienhypertexte"/>
            <w:noProof/>
            <w:color w:val="auto"/>
            <w:u w:val="none"/>
          </w:rPr>
          <w:t>B-Le terme extinctif</w:t>
        </w:r>
      </w:hyperlink>
    </w:p>
    <w:p w14:paraId="29EF2E53" w14:textId="77777777" w:rsidR="00343EC3" w:rsidRPr="00343EC3" w:rsidRDefault="00343EC3" w:rsidP="00343EC3">
      <w:pPr>
        <w:pStyle w:val="TM4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fr-FR"/>
        </w:rPr>
      </w:pPr>
      <w:hyperlink w:anchor="_Toc124435116" w:history="1">
        <w:r w:rsidRPr="00343EC3">
          <w:rPr>
            <w:rStyle w:val="Lienhypertexte"/>
            <w:noProof/>
            <w:color w:val="auto"/>
            <w:u w:val="none"/>
          </w:rPr>
          <w:t>C-La déchéance</w:t>
        </w:r>
      </w:hyperlink>
    </w:p>
    <w:p w14:paraId="57D0FEF1" w14:textId="77777777" w:rsidR="00D62744" w:rsidRPr="00343EC3" w:rsidRDefault="00D62744" w:rsidP="00343EC3">
      <w:pPr>
        <w:pStyle w:val="TM1"/>
      </w:pPr>
    </w:p>
    <w:sectPr w:rsidR="00D62744" w:rsidRPr="0034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E8"/>
    <w:rsid w:val="002809E8"/>
    <w:rsid w:val="00343EC3"/>
    <w:rsid w:val="003E741D"/>
    <w:rsid w:val="007002FD"/>
    <w:rsid w:val="00806ABD"/>
    <w:rsid w:val="008321DD"/>
    <w:rsid w:val="00AF2CA7"/>
    <w:rsid w:val="00D6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B7E6"/>
  <w15:chartTrackingRefBased/>
  <w15:docId w15:val="{3C897650-37A1-47A2-8BE2-7CE29568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9E8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2809E8"/>
    <w:pPr>
      <w:tabs>
        <w:tab w:val="right" w:leader="dot" w:pos="9062"/>
      </w:tabs>
      <w:suppressAutoHyphens/>
      <w:spacing w:after="100" w:line="360" w:lineRule="auto"/>
      <w:jc w:val="both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2809E8"/>
    <w:pPr>
      <w:suppressAutoHyphens/>
      <w:spacing w:after="100" w:line="360" w:lineRule="auto"/>
      <w:ind w:left="240"/>
      <w:jc w:val="both"/>
    </w:pPr>
  </w:style>
  <w:style w:type="paragraph" w:styleId="TM3">
    <w:name w:val="toc 3"/>
    <w:basedOn w:val="Normal"/>
    <w:next w:val="Normal"/>
    <w:autoRedefine/>
    <w:uiPriority w:val="39"/>
    <w:unhideWhenUsed/>
    <w:rsid w:val="002809E8"/>
    <w:pPr>
      <w:suppressAutoHyphens/>
      <w:spacing w:after="100" w:line="360" w:lineRule="auto"/>
      <w:ind w:left="480"/>
      <w:jc w:val="both"/>
    </w:pPr>
  </w:style>
  <w:style w:type="character" w:styleId="Lienhypertexte">
    <w:name w:val="Hyperlink"/>
    <w:basedOn w:val="Policepardfaut"/>
    <w:uiPriority w:val="99"/>
    <w:unhideWhenUsed/>
    <w:rsid w:val="002809E8"/>
    <w:rPr>
      <w:color w:val="0563C1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2809E8"/>
    <w:pPr>
      <w:suppressAutoHyphens/>
      <w:spacing w:after="100" w:line="360" w:lineRule="auto"/>
      <w:ind w:left="720"/>
      <w:jc w:val="both"/>
    </w:pPr>
  </w:style>
  <w:style w:type="paragraph" w:styleId="TM5">
    <w:name w:val="toc 5"/>
    <w:basedOn w:val="Normal"/>
    <w:next w:val="Normal"/>
    <w:autoRedefine/>
    <w:uiPriority w:val="39"/>
    <w:unhideWhenUsed/>
    <w:rsid w:val="002809E8"/>
    <w:pPr>
      <w:suppressAutoHyphens/>
      <w:spacing w:after="100" w:line="360" w:lineRule="auto"/>
      <w:ind w:left="9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BORIES</dc:creator>
  <cp:keywords/>
  <dc:description/>
  <cp:lastModifiedBy>IDAI Relevé de notes</cp:lastModifiedBy>
  <cp:revision>2</cp:revision>
  <dcterms:created xsi:type="dcterms:W3CDTF">2025-03-03T08:42:00Z</dcterms:created>
  <dcterms:modified xsi:type="dcterms:W3CDTF">2025-03-03T08:42:00Z</dcterms:modified>
</cp:coreProperties>
</file>