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040C" w14:textId="77777777" w:rsidR="0080796B" w:rsidRDefault="0080796B">
      <w:pPr>
        <w:jc w:val="center"/>
        <w:rPr>
          <w:rFonts w:ascii="Garamond" w:eastAsia="Garamond" w:hAnsi="Garamond" w:cs="Garamond"/>
          <w:b/>
        </w:rPr>
      </w:pPr>
    </w:p>
    <w:p w14:paraId="6CED1926" w14:textId="77777777" w:rsidR="0080796B" w:rsidRDefault="0080796B">
      <w:pPr>
        <w:jc w:val="center"/>
        <w:rPr>
          <w:rFonts w:ascii="Garamond" w:eastAsia="Garamond" w:hAnsi="Garamond" w:cs="Garamond"/>
          <w:b/>
        </w:rPr>
      </w:pPr>
    </w:p>
    <w:p w14:paraId="5EEAAA02" w14:textId="77777777" w:rsidR="0080796B" w:rsidRDefault="0080796B">
      <w:pPr>
        <w:jc w:val="center"/>
        <w:rPr>
          <w:rFonts w:ascii="Garamond" w:eastAsia="Garamond" w:hAnsi="Garamond" w:cs="Garamond"/>
          <w:b/>
        </w:rPr>
      </w:pPr>
    </w:p>
    <w:p w14:paraId="6B88FB72" w14:textId="77777777" w:rsidR="0080796B" w:rsidRDefault="00EE6E72">
      <w:pPr>
        <w:spacing w:after="0"/>
        <w:jc w:val="center"/>
        <w:rPr>
          <w:b/>
          <w:sz w:val="28"/>
          <w:szCs w:val="28"/>
        </w:rPr>
      </w:pPr>
      <w:r>
        <w:rPr>
          <w:noProof/>
        </w:rPr>
        <w:drawing>
          <wp:anchor distT="0" distB="0" distL="114300" distR="114300" simplePos="0" relativeHeight="251658240" behindDoc="0" locked="0" layoutInCell="1" hidden="0" allowOverlap="1" wp14:anchorId="0ABC903C" wp14:editId="7EF5FD13">
            <wp:simplePos x="0" y="0"/>
            <wp:positionH relativeFrom="margin">
              <wp:align>left</wp:align>
            </wp:positionH>
            <wp:positionV relativeFrom="margin">
              <wp:align>top</wp:align>
            </wp:positionV>
            <wp:extent cx="1144270" cy="108013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4270" cy="10801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DFAB358" wp14:editId="55BF111B">
            <wp:simplePos x="0" y="0"/>
            <wp:positionH relativeFrom="margin">
              <wp:align>center</wp:align>
            </wp:positionH>
            <wp:positionV relativeFrom="margin">
              <wp:align>top</wp:align>
            </wp:positionV>
            <wp:extent cx="2720340" cy="12242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20340" cy="12242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E00265B" wp14:editId="06CC39F8">
            <wp:simplePos x="0" y="0"/>
            <wp:positionH relativeFrom="margin">
              <wp:align>right</wp:align>
            </wp:positionH>
            <wp:positionV relativeFrom="margin">
              <wp:align>top</wp:align>
            </wp:positionV>
            <wp:extent cx="754380" cy="10801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4380" cy="1080135"/>
                    </a:xfrm>
                    <a:prstGeom prst="rect">
                      <a:avLst/>
                    </a:prstGeom>
                    <a:ln/>
                  </pic:spPr>
                </pic:pic>
              </a:graphicData>
            </a:graphic>
          </wp:anchor>
        </w:drawing>
      </w:r>
    </w:p>
    <w:p w14:paraId="012333C3" w14:textId="77777777" w:rsidR="0080796B" w:rsidRDefault="0080796B">
      <w:pPr>
        <w:spacing w:after="0"/>
        <w:jc w:val="center"/>
        <w:rPr>
          <w:b/>
          <w:sz w:val="28"/>
          <w:szCs w:val="28"/>
        </w:rPr>
      </w:pPr>
    </w:p>
    <w:p w14:paraId="3E857052" w14:textId="77777777" w:rsidR="0080796B" w:rsidRDefault="0080796B">
      <w:pPr>
        <w:spacing w:after="0"/>
        <w:jc w:val="center"/>
        <w:rPr>
          <w:b/>
          <w:sz w:val="28"/>
          <w:szCs w:val="28"/>
        </w:rPr>
      </w:pPr>
    </w:p>
    <w:p w14:paraId="2032C146" w14:textId="77777777" w:rsidR="0080796B" w:rsidRDefault="0080796B">
      <w:pPr>
        <w:spacing w:after="0"/>
        <w:jc w:val="center"/>
        <w:rPr>
          <w:b/>
          <w:sz w:val="28"/>
          <w:szCs w:val="28"/>
        </w:rPr>
      </w:pPr>
    </w:p>
    <w:p w14:paraId="562D644F" w14:textId="77777777" w:rsidR="0080796B" w:rsidRDefault="0080796B">
      <w:pPr>
        <w:spacing w:after="0" w:line="240" w:lineRule="auto"/>
        <w:jc w:val="center"/>
        <w:rPr>
          <w:b/>
          <w:smallCaps/>
          <w:sz w:val="28"/>
          <w:szCs w:val="28"/>
        </w:rPr>
      </w:pPr>
    </w:p>
    <w:p w14:paraId="266E0849" w14:textId="77777777" w:rsidR="0080796B" w:rsidRDefault="0080796B">
      <w:pPr>
        <w:spacing w:after="0" w:line="240" w:lineRule="auto"/>
        <w:jc w:val="center"/>
        <w:rPr>
          <w:b/>
          <w:smallCaps/>
          <w:sz w:val="28"/>
          <w:szCs w:val="28"/>
        </w:rPr>
      </w:pPr>
    </w:p>
    <w:p w14:paraId="6640AD56" w14:textId="77777777" w:rsidR="0080796B" w:rsidRDefault="00EE6E72">
      <w:pPr>
        <w:spacing w:after="0" w:line="240" w:lineRule="auto"/>
        <w:jc w:val="center"/>
        <w:rPr>
          <w:b/>
          <w:smallCaps/>
          <w:sz w:val="28"/>
          <w:szCs w:val="28"/>
        </w:rPr>
      </w:pPr>
      <w:r>
        <w:rPr>
          <w:b/>
          <w:smallCaps/>
          <w:sz w:val="28"/>
          <w:szCs w:val="28"/>
        </w:rPr>
        <w:t xml:space="preserve">INSTITUT DE DROIT DES AFFAIRES INTERNATIONALES </w:t>
      </w:r>
    </w:p>
    <w:p w14:paraId="5A46ADC2" w14:textId="77777777" w:rsidR="0080796B" w:rsidRDefault="00EE6E72">
      <w:pPr>
        <w:spacing w:after="0" w:line="240" w:lineRule="auto"/>
        <w:jc w:val="center"/>
        <w:rPr>
          <w:b/>
          <w:sz w:val="28"/>
          <w:szCs w:val="28"/>
        </w:rPr>
      </w:pPr>
      <w:r>
        <w:rPr>
          <w:b/>
          <w:sz w:val="28"/>
          <w:szCs w:val="28"/>
        </w:rPr>
        <w:t>LICENCE 3 - 2023-2024</w:t>
      </w:r>
    </w:p>
    <w:p w14:paraId="6484CC6F" w14:textId="77777777" w:rsidR="0080796B" w:rsidRDefault="0080796B">
      <w:pPr>
        <w:spacing w:after="0" w:line="240" w:lineRule="auto"/>
        <w:jc w:val="center"/>
        <w:rPr>
          <w:b/>
          <w:sz w:val="28"/>
          <w:szCs w:val="28"/>
        </w:rPr>
      </w:pPr>
    </w:p>
    <w:p w14:paraId="55A399D0" w14:textId="77777777" w:rsidR="0080796B" w:rsidRDefault="0080796B">
      <w:pPr>
        <w:spacing w:after="0" w:line="240" w:lineRule="auto"/>
        <w:jc w:val="center"/>
        <w:rPr>
          <w:b/>
          <w:sz w:val="28"/>
          <w:szCs w:val="28"/>
        </w:rPr>
      </w:pPr>
    </w:p>
    <w:p w14:paraId="00509217" w14:textId="77777777" w:rsidR="0080796B" w:rsidRDefault="0080796B">
      <w:pPr>
        <w:spacing w:after="0" w:line="240" w:lineRule="auto"/>
        <w:jc w:val="center"/>
        <w:rPr>
          <w:b/>
          <w:sz w:val="28"/>
          <w:szCs w:val="28"/>
        </w:rPr>
      </w:pPr>
    </w:p>
    <w:p w14:paraId="2E012172" w14:textId="77777777" w:rsidR="0080796B" w:rsidRDefault="0080796B">
      <w:pPr>
        <w:spacing w:after="0" w:line="240" w:lineRule="auto"/>
        <w:jc w:val="center"/>
        <w:rPr>
          <w:b/>
          <w:sz w:val="28"/>
          <w:szCs w:val="28"/>
        </w:rPr>
      </w:pPr>
    </w:p>
    <w:p w14:paraId="7C6CE8E1" w14:textId="77777777" w:rsidR="0080796B" w:rsidRDefault="00EE6E72">
      <w:pPr>
        <w:spacing w:before="240" w:after="0" w:line="240" w:lineRule="auto"/>
        <w:jc w:val="center"/>
        <w:rPr>
          <w:i/>
          <w:sz w:val="28"/>
          <w:szCs w:val="28"/>
        </w:rPr>
      </w:pPr>
      <w:r>
        <w:rPr>
          <w:i/>
          <w:sz w:val="28"/>
          <w:szCs w:val="28"/>
        </w:rPr>
        <w:t>TRAVAUX DIRIGÉS DE DROIT DES CONTRATS SPECIAUX</w:t>
      </w:r>
    </w:p>
    <w:p w14:paraId="792EFF7D" w14:textId="77777777" w:rsidR="0080796B" w:rsidRDefault="00EE6E72">
      <w:pPr>
        <w:spacing w:after="0" w:line="240" w:lineRule="auto"/>
        <w:jc w:val="center"/>
        <w:rPr>
          <w:b/>
          <w:sz w:val="28"/>
          <w:szCs w:val="28"/>
        </w:rPr>
      </w:pPr>
      <w:r>
        <w:rPr>
          <w:b/>
          <w:sz w:val="28"/>
          <w:szCs w:val="28"/>
        </w:rPr>
        <w:t>M. Christophe ALLEAUME</w:t>
      </w:r>
    </w:p>
    <w:p w14:paraId="1B0C5313" w14:textId="77777777" w:rsidR="0080796B" w:rsidRDefault="0080796B">
      <w:pPr>
        <w:spacing w:after="0" w:line="240" w:lineRule="auto"/>
        <w:jc w:val="center"/>
        <w:rPr>
          <w:b/>
          <w:sz w:val="28"/>
          <w:szCs w:val="28"/>
        </w:rPr>
      </w:pPr>
    </w:p>
    <w:p w14:paraId="42DBD2B3" w14:textId="77777777" w:rsidR="0080796B" w:rsidRDefault="0080796B">
      <w:pPr>
        <w:spacing w:after="0" w:line="240" w:lineRule="auto"/>
        <w:jc w:val="center"/>
        <w:rPr>
          <w:b/>
          <w:sz w:val="28"/>
          <w:szCs w:val="28"/>
        </w:rPr>
      </w:pPr>
    </w:p>
    <w:p w14:paraId="062EEBDB" w14:textId="77777777" w:rsidR="0080796B" w:rsidRDefault="0080796B">
      <w:pPr>
        <w:spacing w:after="0" w:line="240" w:lineRule="auto"/>
        <w:jc w:val="center"/>
        <w:rPr>
          <w:b/>
          <w:sz w:val="28"/>
          <w:szCs w:val="28"/>
        </w:rPr>
      </w:pPr>
    </w:p>
    <w:p w14:paraId="511AE755" w14:textId="77777777" w:rsidR="0080796B" w:rsidRDefault="0080796B">
      <w:pPr>
        <w:spacing w:after="0" w:line="240" w:lineRule="auto"/>
        <w:jc w:val="center"/>
        <w:rPr>
          <w:b/>
          <w:sz w:val="28"/>
          <w:szCs w:val="28"/>
        </w:rPr>
      </w:pPr>
    </w:p>
    <w:p w14:paraId="10297941" w14:textId="77777777" w:rsidR="0080796B" w:rsidRDefault="0080796B">
      <w:pPr>
        <w:spacing w:after="240" w:line="240" w:lineRule="auto"/>
        <w:jc w:val="center"/>
        <w:rPr>
          <w:b/>
          <w:sz w:val="28"/>
          <w:szCs w:val="28"/>
        </w:rPr>
      </w:pPr>
    </w:p>
    <w:p w14:paraId="221D7022" w14:textId="77777777" w:rsidR="0080796B" w:rsidRDefault="00EE6E72">
      <w:pPr>
        <w:spacing w:after="240" w:line="240" w:lineRule="auto"/>
        <w:jc w:val="center"/>
        <w:rPr>
          <w:i/>
          <w:sz w:val="28"/>
          <w:szCs w:val="28"/>
        </w:rPr>
      </w:pPr>
      <w:r>
        <w:rPr>
          <w:i/>
          <w:sz w:val="28"/>
          <w:szCs w:val="28"/>
        </w:rPr>
        <w:t xml:space="preserve">Chargée de travaux dirigés : </w:t>
      </w:r>
      <w:proofErr w:type="spellStart"/>
      <w:r>
        <w:rPr>
          <w:i/>
          <w:sz w:val="28"/>
          <w:szCs w:val="28"/>
        </w:rPr>
        <w:t>Alaa</w:t>
      </w:r>
      <w:proofErr w:type="spellEnd"/>
      <w:r>
        <w:rPr>
          <w:i/>
          <w:sz w:val="28"/>
          <w:szCs w:val="28"/>
        </w:rPr>
        <w:t xml:space="preserve"> ABD EL HAFIZ</w:t>
      </w:r>
    </w:p>
    <w:p w14:paraId="5E6380B2" w14:textId="77777777" w:rsidR="0080796B" w:rsidRDefault="0080796B">
      <w:pPr>
        <w:jc w:val="center"/>
        <w:rPr>
          <w:rFonts w:ascii="Garamond" w:eastAsia="Garamond" w:hAnsi="Garamond" w:cs="Garamond"/>
          <w:b/>
          <w:sz w:val="36"/>
          <w:szCs w:val="36"/>
        </w:rPr>
      </w:pPr>
    </w:p>
    <w:p w14:paraId="2A4D1D48" w14:textId="77777777" w:rsidR="0080796B" w:rsidRDefault="0080796B">
      <w:pPr>
        <w:jc w:val="center"/>
        <w:rPr>
          <w:rFonts w:ascii="Garamond" w:eastAsia="Garamond" w:hAnsi="Garamond" w:cs="Garamond"/>
          <w:b/>
          <w:sz w:val="36"/>
          <w:szCs w:val="36"/>
        </w:rPr>
      </w:pPr>
    </w:p>
    <w:p w14:paraId="6B692D38" w14:textId="77777777" w:rsidR="0080796B" w:rsidRDefault="0080796B">
      <w:pPr>
        <w:jc w:val="center"/>
        <w:rPr>
          <w:rFonts w:ascii="Garamond" w:eastAsia="Garamond" w:hAnsi="Garamond" w:cs="Garamond"/>
          <w:b/>
        </w:rPr>
      </w:pPr>
    </w:p>
    <w:p w14:paraId="3CF8A3EC" w14:textId="77777777" w:rsidR="0080796B" w:rsidRDefault="0080796B">
      <w:pPr>
        <w:jc w:val="center"/>
        <w:rPr>
          <w:rFonts w:ascii="Garamond" w:eastAsia="Garamond" w:hAnsi="Garamond" w:cs="Garamond"/>
          <w:b/>
          <w:sz w:val="40"/>
          <w:szCs w:val="40"/>
        </w:rPr>
      </w:pPr>
    </w:p>
    <w:p w14:paraId="29B561D6" w14:textId="77777777" w:rsidR="0080796B" w:rsidRDefault="0080796B">
      <w:pPr>
        <w:jc w:val="center"/>
        <w:rPr>
          <w:rFonts w:ascii="Garamond" w:eastAsia="Garamond" w:hAnsi="Garamond" w:cs="Garamond"/>
          <w:b/>
          <w:sz w:val="40"/>
          <w:szCs w:val="40"/>
        </w:rPr>
      </w:pPr>
    </w:p>
    <w:p w14:paraId="2E772510" w14:textId="77777777" w:rsidR="0080796B" w:rsidRDefault="0080796B">
      <w:pPr>
        <w:rPr>
          <w:rFonts w:ascii="Garamond" w:eastAsia="Garamond" w:hAnsi="Garamond" w:cs="Garamond"/>
          <w:b/>
          <w:sz w:val="40"/>
          <w:szCs w:val="40"/>
        </w:rPr>
      </w:pPr>
    </w:p>
    <w:p w14:paraId="2BD593E1" w14:textId="77777777" w:rsidR="0080796B" w:rsidRDefault="0080796B">
      <w:pPr>
        <w:rPr>
          <w:rFonts w:ascii="Times New Roman" w:eastAsia="Times New Roman" w:hAnsi="Times New Roman" w:cs="Times New Roman"/>
          <w:b/>
          <w:sz w:val="36"/>
          <w:szCs w:val="36"/>
        </w:rPr>
      </w:pPr>
    </w:p>
    <w:p w14:paraId="3B96FA00" w14:textId="77777777" w:rsidR="0080796B" w:rsidRDefault="00EE6E7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FICHE 4 / LA VENTE</w:t>
      </w:r>
    </w:p>
    <w:p w14:paraId="2A01B4FB" w14:textId="77777777" w:rsidR="0080796B" w:rsidRDefault="00EE6E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EFFETS : GARANTIE DE CONFORMITÉ DU CODE DE LA CONSOMMATION / </w:t>
      </w:r>
    </w:p>
    <w:p w14:paraId="1E88D900" w14:textId="77777777" w:rsidR="0080796B" w:rsidRDefault="00EE6E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GARANTIE D’ÉVICTION</w:t>
      </w:r>
    </w:p>
    <w:p w14:paraId="02F9AA59" w14:textId="77777777" w:rsidR="0080796B" w:rsidRDefault="0080796B">
      <w:pPr>
        <w:rPr>
          <w:rFonts w:ascii="Times New Roman" w:eastAsia="Times New Roman" w:hAnsi="Times New Roman" w:cs="Times New Roman"/>
          <w:b/>
          <w:sz w:val="24"/>
          <w:szCs w:val="24"/>
          <w:u w:val="single"/>
        </w:rPr>
      </w:pPr>
    </w:p>
    <w:p w14:paraId="3F08C78A" w14:textId="77777777" w:rsidR="0080796B" w:rsidRDefault="00EE6E7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Travail à faire :</w:t>
      </w:r>
    </w:p>
    <w:p w14:paraId="4EDBBD3F" w14:textId="77777777" w:rsidR="0080796B" w:rsidRDefault="00EE6E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étudiants étudieront les documents reproduits ci-dessous. Ils réaliseront le commentaire des arrêts 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25 janvier 2005 et Cass. com. 15 décembre 2009.</w:t>
      </w:r>
    </w:p>
    <w:p w14:paraId="5EF7E8A3" w14:textId="77777777" w:rsidR="0080796B" w:rsidRDefault="0080796B">
      <w:pPr>
        <w:rPr>
          <w:rFonts w:ascii="Times New Roman" w:eastAsia="Times New Roman" w:hAnsi="Times New Roman" w:cs="Times New Roman"/>
          <w:b/>
          <w:sz w:val="24"/>
          <w:szCs w:val="24"/>
          <w:u w:val="single"/>
        </w:rPr>
      </w:pPr>
    </w:p>
    <w:p w14:paraId="67A48B61" w14:textId="77777777" w:rsidR="0080796B" w:rsidRDefault="00EE6E7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DOCUMENTS :</w:t>
      </w:r>
    </w:p>
    <w:p w14:paraId="2E840419" w14:textId="77777777" w:rsidR="0080796B" w:rsidRDefault="0080796B">
      <w:pPr>
        <w:rPr>
          <w:rFonts w:ascii="Times New Roman" w:eastAsia="Times New Roman" w:hAnsi="Times New Roman" w:cs="Times New Roman"/>
          <w:sz w:val="24"/>
          <w:szCs w:val="24"/>
          <w:u w:val="single"/>
        </w:rPr>
      </w:pPr>
    </w:p>
    <w:p w14:paraId="199DF03A" w14:textId="77777777" w:rsidR="0080796B" w:rsidRDefault="00EE6E7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 Garantie des vices cachés et obligation de délivrance conforme</w:t>
      </w:r>
    </w:p>
    <w:p w14:paraId="5B159CF0" w14:textId="77777777" w:rsidR="0080796B" w:rsidRDefault="00EE6E72">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Lire :</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Bénabent</w:t>
      </w:r>
      <w:proofErr w:type="spellEnd"/>
      <w:r>
        <w:rPr>
          <w:rFonts w:ascii="Times New Roman" w:eastAsia="Times New Roman" w:hAnsi="Times New Roman" w:cs="Times New Roman"/>
          <w:sz w:val="24"/>
          <w:szCs w:val="24"/>
        </w:rPr>
        <w:t xml:space="preserve">, « Conformité et vices cachés dans la vente : l'éclaircie (à propos des cinq arrêts des 16 juin, 13 octobre, 27 octobre et 8 décembre 1993) »,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1994, </w:t>
      </w:r>
      <w:proofErr w:type="spellStart"/>
      <w:r>
        <w:rPr>
          <w:rFonts w:ascii="Times New Roman" w:eastAsia="Times New Roman" w:hAnsi="Times New Roman" w:cs="Times New Roman"/>
          <w:sz w:val="24"/>
          <w:szCs w:val="24"/>
        </w:rPr>
        <w:t>chron</w:t>
      </w:r>
      <w:proofErr w:type="spellEnd"/>
      <w:r>
        <w:rPr>
          <w:rFonts w:ascii="Times New Roman" w:eastAsia="Times New Roman" w:hAnsi="Times New Roman" w:cs="Times New Roman"/>
          <w:sz w:val="24"/>
          <w:szCs w:val="24"/>
        </w:rPr>
        <w:t xml:space="preserve">. p. 115 </w:t>
      </w:r>
      <w:r>
        <w:rPr>
          <w:rFonts w:ascii="Times New Roman" w:eastAsia="Times New Roman" w:hAnsi="Times New Roman" w:cs="Times New Roman"/>
          <w:sz w:val="24"/>
          <w:szCs w:val="24"/>
          <w:u w:val="single"/>
        </w:rPr>
        <w:t>ou</w:t>
      </w:r>
      <w:r>
        <w:rPr>
          <w:rFonts w:ascii="Times New Roman" w:eastAsia="Times New Roman" w:hAnsi="Times New Roman" w:cs="Times New Roman"/>
          <w:sz w:val="24"/>
          <w:szCs w:val="24"/>
        </w:rPr>
        <w:t xml:space="preserve"> R. Family, « Erreur, non-conformité et vice caché : état des questions à </w:t>
      </w:r>
      <w:r>
        <w:rPr>
          <w:rFonts w:ascii="Times New Roman" w:eastAsia="Times New Roman" w:hAnsi="Times New Roman" w:cs="Times New Roman"/>
          <w:sz w:val="24"/>
          <w:szCs w:val="24"/>
        </w:rPr>
        <w:t xml:space="preserve">l’heure de la transposition de la directive du 25 mai 1999 », </w:t>
      </w:r>
      <w:r>
        <w:rPr>
          <w:rFonts w:ascii="Times New Roman" w:eastAsia="Times New Roman" w:hAnsi="Times New Roman" w:cs="Times New Roman"/>
          <w:i/>
          <w:sz w:val="24"/>
          <w:szCs w:val="24"/>
        </w:rPr>
        <w:t>CCC</w:t>
      </w:r>
      <w:r>
        <w:rPr>
          <w:rFonts w:ascii="Times New Roman" w:eastAsia="Times New Roman" w:hAnsi="Times New Roman" w:cs="Times New Roman"/>
          <w:sz w:val="24"/>
          <w:szCs w:val="24"/>
        </w:rPr>
        <w:t xml:space="preserve">, 2002, </w:t>
      </w:r>
      <w:proofErr w:type="spellStart"/>
      <w:r>
        <w:rPr>
          <w:rFonts w:ascii="Times New Roman" w:eastAsia="Times New Roman" w:hAnsi="Times New Roman" w:cs="Times New Roman"/>
          <w:sz w:val="24"/>
          <w:szCs w:val="24"/>
        </w:rPr>
        <w:t>chron</w:t>
      </w:r>
      <w:proofErr w:type="spellEnd"/>
      <w:r>
        <w:rPr>
          <w:rFonts w:ascii="Times New Roman" w:eastAsia="Times New Roman" w:hAnsi="Times New Roman" w:cs="Times New Roman"/>
          <w:sz w:val="24"/>
          <w:szCs w:val="24"/>
        </w:rPr>
        <w:t>. 7.</w:t>
      </w:r>
    </w:p>
    <w:p w14:paraId="6732820B" w14:textId="77777777" w:rsidR="0080796B" w:rsidRDefault="00EE6E7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1</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Cass.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3</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xml:space="preserve"> 28 juin 1995</w:t>
      </w:r>
      <w:r>
        <w:rPr>
          <w:rFonts w:ascii="Times New Roman" w:eastAsia="Times New Roman" w:hAnsi="Times New Roman" w:cs="Times New Roman"/>
          <w:sz w:val="24"/>
          <w:szCs w:val="24"/>
        </w:rPr>
        <w:t xml:space="preserve">, pourvoi n° 93-17379 : Bull. n°162 ; </w:t>
      </w:r>
    </w:p>
    <w:p w14:paraId="17B3DE8E" w14:textId="77777777" w:rsidR="0080796B" w:rsidRDefault="00EE6E7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 12</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25 janvier 2005</w:t>
      </w:r>
      <w:r>
        <w:rPr>
          <w:rFonts w:ascii="Times New Roman" w:eastAsia="Times New Roman" w:hAnsi="Times New Roman" w:cs="Times New Roman"/>
          <w:sz w:val="24"/>
          <w:szCs w:val="24"/>
        </w:rPr>
        <w:t xml:space="preserve">, pourvoi n° 02-12072 : Bull. n°52 ; </w:t>
      </w:r>
      <w:r>
        <w:rPr>
          <w:rFonts w:ascii="Times New Roman" w:eastAsia="Times New Roman" w:hAnsi="Times New Roman" w:cs="Times New Roman"/>
          <w:i/>
          <w:sz w:val="24"/>
          <w:szCs w:val="24"/>
        </w:rPr>
        <w:t>JCP G.</w:t>
      </w:r>
      <w:r>
        <w:rPr>
          <w:rFonts w:ascii="Times New Roman" w:eastAsia="Times New Roman" w:hAnsi="Times New Roman" w:cs="Times New Roman"/>
          <w:sz w:val="24"/>
          <w:szCs w:val="24"/>
        </w:rPr>
        <w:t>, II, 10184, no</w:t>
      </w:r>
      <w:r>
        <w:rPr>
          <w:rFonts w:ascii="Times New Roman" w:eastAsia="Times New Roman" w:hAnsi="Times New Roman" w:cs="Times New Roman"/>
          <w:sz w:val="24"/>
          <w:szCs w:val="24"/>
        </w:rPr>
        <w:t xml:space="preserve">te C. </w:t>
      </w:r>
      <w:proofErr w:type="spellStart"/>
      <w:r>
        <w:rPr>
          <w:rFonts w:ascii="Times New Roman" w:eastAsia="Times New Roman" w:hAnsi="Times New Roman" w:cs="Times New Roman"/>
          <w:sz w:val="24"/>
          <w:szCs w:val="24"/>
        </w:rPr>
        <w:t>Liévremont</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RDC</w:t>
      </w:r>
      <w:r>
        <w:rPr>
          <w:rFonts w:ascii="Times New Roman" w:eastAsia="Times New Roman" w:hAnsi="Times New Roman" w:cs="Times New Roman"/>
          <w:sz w:val="24"/>
          <w:szCs w:val="24"/>
        </w:rPr>
        <w:t xml:space="preserve">, 2005, p. 1147 note Y. </w:t>
      </w:r>
      <w:proofErr w:type="spellStart"/>
      <w:r>
        <w:rPr>
          <w:rFonts w:ascii="Times New Roman" w:eastAsia="Times New Roman" w:hAnsi="Times New Roman" w:cs="Times New Roman"/>
          <w:sz w:val="24"/>
          <w:szCs w:val="24"/>
        </w:rPr>
        <w:t>Serinet</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Dr. et patrimoine</w:t>
      </w:r>
      <w:r>
        <w:rPr>
          <w:rFonts w:ascii="Times New Roman" w:eastAsia="Times New Roman" w:hAnsi="Times New Roman" w:cs="Times New Roman"/>
          <w:sz w:val="24"/>
          <w:szCs w:val="24"/>
        </w:rPr>
        <w:t>, mai 2005, p. 96, obs. P. Chauvel.</w:t>
      </w:r>
    </w:p>
    <w:p w14:paraId="6A6D990B" w14:textId="77777777" w:rsidR="0080796B" w:rsidRDefault="00EE6E7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 La garantie d’éviction</w:t>
      </w:r>
    </w:p>
    <w:p w14:paraId="09952253" w14:textId="77777777" w:rsidR="0080796B" w:rsidRDefault="00EE6E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3</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13 mars 2008</w:t>
      </w:r>
      <w:r>
        <w:rPr>
          <w:rFonts w:ascii="Times New Roman" w:eastAsia="Times New Roman" w:hAnsi="Times New Roman" w:cs="Times New Roman"/>
          <w:sz w:val="24"/>
          <w:szCs w:val="24"/>
        </w:rPr>
        <w:t xml:space="preserve">, pourvoi n° 06-20152 : Bull. civ. I n° 78 (condition de bonne foi de l’acquéreur) ;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2008, p. 1317 note T. Lancrenon ; </w:t>
      </w:r>
      <w:r>
        <w:rPr>
          <w:rFonts w:ascii="Times New Roman" w:eastAsia="Times New Roman" w:hAnsi="Times New Roman" w:cs="Times New Roman"/>
          <w:i/>
          <w:sz w:val="24"/>
          <w:szCs w:val="24"/>
        </w:rPr>
        <w:t>CCC</w:t>
      </w:r>
      <w:r>
        <w:rPr>
          <w:rFonts w:ascii="Times New Roman" w:eastAsia="Times New Roman" w:hAnsi="Times New Roman" w:cs="Times New Roman"/>
          <w:sz w:val="24"/>
          <w:szCs w:val="24"/>
        </w:rPr>
        <w:t>, mai 2008, p. 24, note C. Caron.</w:t>
      </w:r>
    </w:p>
    <w:p w14:paraId="39529023" w14:textId="77777777" w:rsidR="0080796B" w:rsidRDefault="00EE6E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4</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28 avril 1976</w:t>
      </w:r>
      <w:r>
        <w:rPr>
          <w:rFonts w:ascii="Times New Roman" w:eastAsia="Times New Roman" w:hAnsi="Times New Roman" w:cs="Times New Roman"/>
          <w:sz w:val="24"/>
          <w:szCs w:val="24"/>
        </w:rPr>
        <w:t> : Bull. civ. I n°148 (fait du prince : oui)</w:t>
      </w:r>
    </w:p>
    <w:p w14:paraId="2F705B38" w14:textId="77777777" w:rsidR="0080796B" w:rsidRDefault="00EE6E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5</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w:t>
      </w:r>
      <w:r>
        <w:rPr>
          <w:rFonts w:ascii="Times New Roman" w:eastAsia="Times New Roman" w:hAnsi="Times New Roman" w:cs="Times New Roman"/>
          <w:b/>
          <w:sz w:val="24"/>
          <w:szCs w:val="24"/>
        </w:rPr>
        <w:t xml:space="preserve">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30 octobre 1984</w:t>
      </w:r>
      <w:r>
        <w:rPr>
          <w:rFonts w:ascii="Times New Roman" w:eastAsia="Times New Roman" w:hAnsi="Times New Roman" w:cs="Times New Roman"/>
          <w:sz w:val="24"/>
          <w:szCs w:val="24"/>
        </w:rPr>
        <w:t> : Bull. civ. I n°83 (fait du prince : oui)</w:t>
      </w:r>
    </w:p>
    <w:p w14:paraId="04683848" w14:textId="77777777" w:rsidR="0080796B" w:rsidRDefault="00EE6E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6</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com. 15 décembre 2009</w:t>
      </w:r>
      <w:r>
        <w:rPr>
          <w:rFonts w:ascii="Times New Roman" w:eastAsia="Times New Roman" w:hAnsi="Times New Roman" w:cs="Times New Roman"/>
          <w:sz w:val="24"/>
          <w:szCs w:val="24"/>
        </w:rPr>
        <w:t> pourvoi n° 08-20522 : Bull. (clause de non concurrence / garantie d’éviction)</w:t>
      </w:r>
    </w:p>
    <w:p w14:paraId="2D43D9D4" w14:textId="77777777" w:rsidR="0080796B" w:rsidRDefault="00EE6E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7</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com. 21 janvier 1997</w:t>
      </w:r>
      <w:r>
        <w:rPr>
          <w:rFonts w:ascii="Times New Roman" w:eastAsia="Times New Roman" w:hAnsi="Times New Roman" w:cs="Times New Roman"/>
          <w:sz w:val="24"/>
          <w:szCs w:val="24"/>
        </w:rPr>
        <w:t xml:space="preserve">, pourvoi n° 94-15207 : Bull. civ. IV </w:t>
      </w:r>
      <w:r>
        <w:rPr>
          <w:rFonts w:ascii="Times New Roman" w:eastAsia="Times New Roman" w:hAnsi="Times New Roman" w:cs="Times New Roman"/>
          <w:sz w:val="24"/>
          <w:szCs w:val="24"/>
        </w:rPr>
        <w:t xml:space="preserve">n°25 (cession de droits sociaux) ; </w:t>
      </w:r>
      <w:r>
        <w:rPr>
          <w:rFonts w:ascii="Times New Roman" w:eastAsia="Times New Roman" w:hAnsi="Times New Roman" w:cs="Times New Roman"/>
          <w:i/>
          <w:sz w:val="24"/>
          <w:szCs w:val="24"/>
        </w:rPr>
        <w:t>Dr. soc.</w:t>
      </w:r>
      <w:r>
        <w:rPr>
          <w:rFonts w:ascii="Times New Roman" w:eastAsia="Times New Roman" w:hAnsi="Times New Roman" w:cs="Times New Roman"/>
          <w:sz w:val="24"/>
          <w:szCs w:val="24"/>
        </w:rPr>
        <w:t xml:space="preserve">, 1997, </w:t>
      </w:r>
      <w:proofErr w:type="spellStart"/>
      <w:r>
        <w:rPr>
          <w:rFonts w:ascii="Times New Roman" w:eastAsia="Times New Roman" w:hAnsi="Times New Roman" w:cs="Times New Roman"/>
          <w:sz w:val="24"/>
          <w:szCs w:val="24"/>
        </w:rPr>
        <w:t>comm</w:t>
      </w:r>
      <w:proofErr w:type="spellEnd"/>
      <w:r>
        <w:rPr>
          <w:rFonts w:ascii="Times New Roman" w:eastAsia="Times New Roman" w:hAnsi="Times New Roman" w:cs="Times New Roman"/>
          <w:sz w:val="24"/>
          <w:szCs w:val="24"/>
        </w:rPr>
        <w:t xml:space="preserve">. n° 88, obs. H. Lécuyer ; </w:t>
      </w:r>
      <w:r>
        <w:rPr>
          <w:rFonts w:ascii="Times New Roman" w:eastAsia="Times New Roman" w:hAnsi="Times New Roman" w:cs="Times New Roman"/>
          <w:i/>
          <w:sz w:val="24"/>
          <w:szCs w:val="24"/>
        </w:rPr>
        <w:t>JCP E.</w:t>
      </w:r>
      <w:r>
        <w:rPr>
          <w:rFonts w:ascii="Times New Roman" w:eastAsia="Times New Roman" w:hAnsi="Times New Roman" w:cs="Times New Roman"/>
          <w:sz w:val="24"/>
          <w:szCs w:val="24"/>
        </w:rPr>
        <w:t>, 1997, 936, note Y. Guyon.</w:t>
      </w:r>
    </w:p>
    <w:p w14:paraId="1F087249" w14:textId="77777777" w:rsidR="0080796B" w:rsidRDefault="00EE6E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Doc 8</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18 janvier 1978</w:t>
      </w:r>
      <w:r>
        <w:rPr>
          <w:rFonts w:ascii="Times New Roman" w:eastAsia="Times New Roman" w:hAnsi="Times New Roman" w:cs="Times New Roman"/>
          <w:sz w:val="24"/>
          <w:szCs w:val="24"/>
        </w:rPr>
        <w:t> : Bull. civ. I n° 28 (dommages et intérêts, date d’évaluation)</w:t>
      </w:r>
    </w:p>
    <w:p w14:paraId="22150CF3" w14:textId="77777777" w:rsidR="0080796B" w:rsidRDefault="00EE6E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Doc 9</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Cass. civ. 3</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xml:space="preserve"> 16 janvier 1991</w:t>
      </w:r>
      <w:r>
        <w:rPr>
          <w:rFonts w:ascii="Times New Roman" w:eastAsia="Times New Roman" w:hAnsi="Times New Roman" w:cs="Times New Roman"/>
          <w:sz w:val="24"/>
          <w:szCs w:val="24"/>
        </w:rPr>
        <w:t> : Bull. civ. III n° 26 (dommages et intérêts, date d’évaluation)</w:t>
      </w:r>
    </w:p>
    <w:p w14:paraId="1C9E831F" w14:textId="77777777" w:rsidR="0080796B" w:rsidRDefault="0080796B">
      <w:pPr>
        <w:rPr>
          <w:rFonts w:ascii="Times New Roman" w:eastAsia="Times New Roman" w:hAnsi="Times New Roman" w:cs="Times New Roman"/>
          <w:b/>
          <w:sz w:val="24"/>
          <w:szCs w:val="24"/>
          <w:u w:val="single"/>
        </w:rPr>
      </w:pPr>
    </w:p>
    <w:p w14:paraId="081902A0" w14:textId="77777777" w:rsidR="0080796B" w:rsidRDefault="0080796B">
      <w:pPr>
        <w:rPr>
          <w:rFonts w:ascii="Times New Roman" w:eastAsia="Times New Roman" w:hAnsi="Times New Roman" w:cs="Times New Roman"/>
          <w:b/>
          <w:sz w:val="24"/>
          <w:szCs w:val="24"/>
          <w:u w:val="single"/>
        </w:rPr>
      </w:pPr>
    </w:p>
    <w:p w14:paraId="428656BE" w14:textId="77777777" w:rsidR="0080796B" w:rsidRDefault="0080796B">
      <w:pPr>
        <w:widowControl w:val="0"/>
        <w:spacing w:after="0" w:line="240" w:lineRule="auto"/>
        <w:rPr>
          <w:rFonts w:ascii="Times New Roman" w:eastAsia="Times New Roman" w:hAnsi="Times New Roman" w:cs="Times New Roman"/>
          <w:sz w:val="24"/>
          <w:szCs w:val="24"/>
        </w:rPr>
      </w:pPr>
    </w:p>
    <w:p w14:paraId="36BA8DB7"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2DDB8564"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599913FC"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60A08F66"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0AAA28A1"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3CE56388"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47283757"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6CDFE3C3"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6431A3E7"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5F69BCB1"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7678C217"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11BAECDC"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4B1D7B2E"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450B6396"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60F83D18"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2E4CA620"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4D8DDC63"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564C95BC"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531929FB"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076C767A"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6709D633"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7F6B3EFC"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505C4F4B"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005AD2EE"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375AB068"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2D2E4540"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63236457"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5FCD515E"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62B77556"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331D5D8D"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089AC6FD"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34D08671"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3EC26F2C"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442FC7D2" w14:textId="77777777" w:rsidR="0080796B" w:rsidRDefault="0080796B">
      <w:pPr>
        <w:widowControl w:val="0"/>
        <w:spacing w:after="0" w:line="240" w:lineRule="auto"/>
        <w:rPr>
          <w:rFonts w:ascii="Times New Roman" w:eastAsia="Times New Roman" w:hAnsi="Times New Roman" w:cs="Times New Roman"/>
          <w:sz w:val="24"/>
          <w:szCs w:val="24"/>
          <w:u w:val="single"/>
        </w:rPr>
      </w:pPr>
    </w:p>
    <w:p w14:paraId="78119F26" w14:textId="77777777" w:rsidR="0080796B" w:rsidRDefault="0080796B">
      <w:pPr>
        <w:widowControl w:val="0"/>
        <w:spacing w:after="0" w:line="240" w:lineRule="auto"/>
        <w:rPr>
          <w:rFonts w:ascii="Times New Roman" w:eastAsia="Times New Roman" w:hAnsi="Times New Roman" w:cs="Times New Roman"/>
          <w:b/>
          <w:sz w:val="24"/>
          <w:szCs w:val="24"/>
          <w:u w:val="single"/>
        </w:rPr>
      </w:pPr>
    </w:p>
    <w:p w14:paraId="5713692B" w14:textId="77777777" w:rsidR="0080796B" w:rsidRDefault="0080796B">
      <w:pPr>
        <w:widowControl w:val="0"/>
        <w:spacing w:after="0" w:line="240" w:lineRule="auto"/>
        <w:rPr>
          <w:rFonts w:ascii="Times New Roman" w:eastAsia="Times New Roman" w:hAnsi="Times New Roman" w:cs="Times New Roman"/>
          <w:b/>
          <w:sz w:val="24"/>
          <w:szCs w:val="24"/>
          <w:u w:val="single"/>
        </w:rPr>
      </w:pPr>
    </w:p>
    <w:p w14:paraId="1EB673E9" w14:textId="77777777" w:rsidR="0080796B" w:rsidRDefault="0080796B">
      <w:pPr>
        <w:widowControl w:val="0"/>
        <w:spacing w:after="0" w:line="240" w:lineRule="auto"/>
        <w:rPr>
          <w:rFonts w:ascii="Times New Roman" w:eastAsia="Times New Roman" w:hAnsi="Times New Roman" w:cs="Times New Roman"/>
          <w:b/>
          <w:sz w:val="24"/>
          <w:szCs w:val="24"/>
          <w:u w:val="single"/>
        </w:rPr>
      </w:pPr>
    </w:p>
    <w:p w14:paraId="58896A97" w14:textId="77777777" w:rsidR="0080796B" w:rsidRDefault="0080796B">
      <w:pPr>
        <w:widowControl w:val="0"/>
        <w:spacing w:after="0" w:line="240" w:lineRule="auto"/>
        <w:rPr>
          <w:rFonts w:ascii="Times New Roman" w:eastAsia="Times New Roman" w:hAnsi="Times New Roman" w:cs="Times New Roman"/>
          <w:b/>
          <w:sz w:val="24"/>
          <w:szCs w:val="24"/>
          <w:u w:val="single"/>
        </w:rPr>
      </w:pPr>
    </w:p>
    <w:p w14:paraId="2ACAFE7F" w14:textId="77777777" w:rsidR="0080796B" w:rsidRDefault="0080796B">
      <w:pPr>
        <w:widowControl w:val="0"/>
        <w:spacing w:after="0" w:line="240" w:lineRule="auto"/>
        <w:rPr>
          <w:rFonts w:ascii="Times New Roman" w:eastAsia="Times New Roman" w:hAnsi="Times New Roman" w:cs="Times New Roman"/>
          <w:b/>
          <w:sz w:val="24"/>
          <w:szCs w:val="24"/>
          <w:u w:val="single"/>
        </w:rPr>
      </w:pPr>
    </w:p>
    <w:p w14:paraId="4892073B" w14:textId="77777777" w:rsidR="0080796B" w:rsidRDefault="00EE6E72">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DOCUMENTS :</w:t>
      </w:r>
    </w:p>
    <w:p w14:paraId="252C4C02" w14:textId="77777777" w:rsidR="0080796B" w:rsidRDefault="0080796B">
      <w:pPr>
        <w:widowControl w:val="0"/>
        <w:spacing w:after="0" w:line="240" w:lineRule="auto"/>
        <w:rPr>
          <w:rFonts w:ascii="Times New Roman" w:eastAsia="Times New Roman" w:hAnsi="Times New Roman" w:cs="Times New Roman"/>
          <w:sz w:val="24"/>
          <w:szCs w:val="24"/>
        </w:rPr>
      </w:pPr>
    </w:p>
    <w:p w14:paraId="2F6CBFF2" w14:textId="77777777" w:rsidR="0080796B" w:rsidRDefault="00EE6E7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Doc 1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3, 28 juin 1995</w:t>
      </w:r>
    </w:p>
    <w:p w14:paraId="7A0C6ADF" w14:textId="77777777" w:rsidR="0080796B" w:rsidRDefault="0080796B">
      <w:pPr>
        <w:widowControl w:val="0"/>
        <w:spacing w:after="0" w:line="240" w:lineRule="auto"/>
        <w:rPr>
          <w:rFonts w:ascii="Times New Roman" w:eastAsia="Times New Roman" w:hAnsi="Times New Roman" w:cs="Times New Roman"/>
          <w:sz w:val="24"/>
          <w:szCs w:val="24"/>
        </w:rPr>
      </w:pPr>
    </w:p>
    <w:p w14:paraId="496CE38C" w14:textId="77777777" w:rsidR="0080796B" w:rsidRDefault="00EE6E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 le moyen unique :</w:t>
      </w:r>
    </w:p>
    <w:p w14:paraId="7162597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0FCBE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les articles 1641 et 1648 du Code civil ;</w:t>
      </w:r>
    </w:p>
    <w:p w14:paraId="2A0E3F7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FA4F32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le vendeur est tenu de la garantie à raison des défauts cachés de la chose vendue qui la rendent impropre à l’usage auquel on la destine, ou qui diminuent tellement cet usage que l’acheteur ne l’au</w:t>
      </w:r>
      <w:r>
        <w:rPr>
          <w:rFonts w:ascii="Times New Roman" w:eastAsia="Times New Roman" w:hAnsi="Times New Roman" w:cs="Times New Roman"/>
          <w:sz w:val="24"/>
          <w:szCs w:val="24"/>
        </w:rPr>
        <w:t>rait pas acquise, ou n’en aurait donné qu’un moindre prix, s’il les avait connus ; que l’action résultant des vices rédhibitoires doit être intentée par l’acquéreur dans un bref délai, suivant la nature des vices rédhibitoires et l’usage du lieu où la vent</w:t>
      </w:r>
      <w:r>
        <w:rPr>
          <w:rFonts w:ascii="Times New Roman" w:eastAsia="Times New Roman" w:hAnsi="Times New Roman" w:cs="Times New Roman"/>
          <w:sz w:val="24"/>
          <w:szCs w:val="24"/>
        </w:rPr>
        <w:t>e a été faite ;</w:t>
      </w:r>
    </w:p>
    <w:p w14:paraId="7610C08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BB634F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selon l’arrêt attaqué (Montpellier, 27 mai 1993), qu’en 1978, la société </w:t>
      </w:r>
      <w:proofErr w:type="spellStart"/>
      <w:r>
        <w:rPr>
          <w:rFonts w:ascii="Times New Roman" w:eastAsia="Times New Roman" w:hAnsi="Times New Roman" w:cs="Times New Roman"/>
          <w:sz w:val="24"/>
          <w:szCs w:val="24"/>
        </w:rPr>
        <w:t>Basso</w:t>
      </w:r>
      <w:proofErr w:type="spellEnd"/>
      <w:r>
        <w:rPr>
          <w:rFonts w:ascii="Times New Roman" w:eastAsia="Times New Roman" w:hAnsi="Times New Roman" w:cs="Times New Roman"/>
          <w:sz w:val="24"/>
          <w:szCs w:val="24"/>
        </w:rPr>
        <w:t xml:space="preserve"> Sud a fait construire une villa-témoin sur les murs de laquelle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entrepreneur, a appliqué un enduit appelé “Lutèce </w:t>
      </w:r>
      <w:proofErr w:type="spellStart"/>
      <w:r>
        <w:rPr>
          <w:rFonts w:ascii="Times New Roman" w:eastAsia="Times New Roman" w:hAnsi="Times New Roman" w:cs="Times New Roman"/>
          <w:sz w:val="24"/>
          <w:szCs w:val="24"/>
        </w:rPr>
        <w:t>Projext</w:t>
      </w:r>
      <w:proofErr w:type="spellEnd"/>
      <w:r>
        <w:rPr>
          <w:rFonts w:ascii="Times New Roman" w:eastAsia="Times New Roman" w:hAnsi="Times New Roman" w:cs="Times New Roman"/>
          <w:sz w:val="24"/>
          <w:szCs w:val="24"/>
        </w:rPr>
        <w:t>“, fabriqué par la s</w:t>
      </w:r>
      <w:r>
        <w:rPr>
          <w:rFonts w:ascii="Times New Roman" w:eastAsia="Times New Roman" w:hAnsi="Times New Roman" w:cs="Times New Roman"/>
          <w:sz w:val="24"/>
          <w:szCs w:val="24"/>
        </w:rPr>
        <w:t>ociété Plâtres Lambert, aux droits de laquelle se trouve la société Plâtres Lambert production ; que des désordres ayant affecté cet enduit, le maître de l’ouvrage a assigné le fabricant en réparation de son préjudice commercial ;</w:t>
      </w:r>
    </w:p>
    <w:p w14:paraId="181B87D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336B99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pour conda</w:t>
      </w:r>
      <w:r>
        <w:rPr>
          <w:rFonts w:ascii="Times New Roman" w:eastAsia="Times New Roman" w:hAnsi="Times New Roman" w:cs="Times New Roman"/>
          <w:sz w:val="24"/>
          <w:szCs w:val="24"/>
        </w:rPr>
        <w:t>mner la société Plâtres Lambert production, l’arrêt retient que le défaut présenté par l’enduit est sa grande sensibilité à l’eau, que ce défaut est imputable à l’action d’un vecteur externe et que, n’étant pas inhérent à la chose, le défaut n’est pas un v</w:t>
      </w:r>
      <w:r>
        <w:rPr>
          <w:rFonts w:ascii="Times New Roman" w:eastAsia="Times New Roman" w:hAnsi="Times New Roman" w:cs="Times New Roman"/>
          <w:sz w:val="24"/>
          <w:szCs w:val="24"/>
        </w:rPr>
        <w:t>ice caché, le fabricant ne pouvant alors opposer la forclusion de l’article 1648 du Code civil ;</w:t>
      </w:r>
    </w:p>
    <w:p w14:paraId="157AAD1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4E75D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Qu’en statuant ainsi, tout en relevant que la société Plâtres Lambert production avait délivré un produit qui n’était pas conforme à son utilisation normale, la cour d’appel, qui n’a pas tiré les conséquences légales de ses propres constatations, a violé l</w:t>
      </w:r>
      <w:r>
        <w:rPr>
          <w:rFonts w:ascii="Times New Roman" w:eastAsia="Times New Roman" w:hAnsi="Times New Roman" w:cs="Times New Roman"/>
          <w:sz w:val="24"/>
          <w:szCs w:val="24"/>
        </w:rPr>
        <w:t>es textes susvisés ;</w:t>
      </w:r>
    </w:p>
    <w:p w14:paraId="430C6F7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F1CC2F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w:t>
      </w:r>
    </w:p>
    <w:p w14:paraId="1D70EB1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FF82F1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CASSE ET ANNULE, mais seulement en ce qu’il a débouté la société Plâtres Lambert production de sa tierce opposition et l’a condamnée au profit de la société </w:t>
      </w:r>
      <w:proofErr w:type="spellStart"/>
      <w:r>
        <w:rPr>
          <w:rFonts w:ascii="Times New Roman" w:eastAsia="Times New Roman" w:hAnsi="Times New Roman" w:cs="Times New Roman"/>
          <w:sz w:val="24"/>
          <w:szCs w:val="24"/>
        </w:rPr>
        <w:t>Basso</w:t>
      </w:r>
      <w:proofErr w:type="spellEnd"/>
      <w:r>
        <w:rPr>
          <w:rFonts w:ascii="Times New Roman" w:eastAsia="Times New Roman" w:hAnsi="Times New Roman" w:cs="Times New Roman"/>
          <w:sz w:val="24"/>
          <w:szCs w:val="24"/>
        </w:rPr>
        <w:t xml:space="preserve"> Sud, l’arrêt rendu le 27 mai 1993, entre les parti</w:t>
      </w:r>
      <w:r>
        <w:rPr>
          <w:rFonts w:ascii="Times New Roman" w:eastAsia="Times New Roman" w:hAnsi="Times New Roman" w:cs="Times New Roman"/>
          <w:sz w:val="24"/>
          <w:szCs w:val="24"/>
        </w:rPr>
        <w:t>es, par la cour d’appel de Montpellier ; remet, en conséquence, quant à ce, la cause et les parties dans l’état où elles se trouvaient avant ledit arrêt et, pour être fait droit, les renvoie devant la cour d’appel de Nîmes.</w:t>
      </w:r>
    </w:p>
    <w:p w14:paraId="3F328B39"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1113E0B4" w14:textId="77777777" w:rsidR="0080796B" w:rsidRDefault="00EE6E72">
      <w:pPr>
        <w:spacing w:after="0" w:line="240" w:lineRule="auto"/>
        <w:rPr>
          <w:rFonts w:ascii="Times New Roman" w:eastAsia="Times New Roman" w:hAnsi="Times New Roman" w:cs="Times New Roman"/>
          <w:sz w:val="24"/>
          <w:szCs w:val="24"/>
        </w:rPr>
      </w:pPr>
      <w:r>
        <w:br w:type="page"/>
      </w:r>
    </w:p>
    <w:p w14:paraId="42A00872" w14:textId="77777777" w:rsidR="0080796B" w:rsidRDefault="00EE6E7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Doc 2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1, 25 janvier 20</w:t>
      </w:r>
      <w:r>
        <w:rPr>
          <w:rFonts w:ascii="Times New Roman" w:eastAsia="Times New Roman" w:hAnsi="Times New Roman" w:cs="Times New Roman"/>
          <w:b/>
          <w:sz w:val="24"/>
          <w:szCs w:val="24"/>
        </w:rPr>
        <w:t>05</w:t>
      </w:r>
    </w:p>
    <w:p w14:paraId="1070D9F4"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546625A1" w14:textId="77777777" w:rsidR="0080796B" w:rsidRDefault="0080796B">
      <w:pPr>
        <w:widowControl w:val="0"/>
        <w:spacing w:after="0" w:line="240" w:lineRule="auto"/>
        <w:rPr>
          <w:rFonts w:ascii="Times New Roman" w:eastAsia="Times New Roman" w:hAnsi="Times New Roman" w:cs="Times New Roman"/>
          <w:sz w:val="24"/>
          <w:szCs w:val="24"/>
        </w:rPr>
      </w:pPr>
    </w:p>
    <w:p w14:paraId="6DBE6FF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le 7 janvier 1995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a acheté à M. Y... un véhicule </w:t>
      </w:r>
      <w:proofErr w:type="spellStart"/>
      <w:r>
        <w:rPr>
          <w:rFonts w:ascii="Times New Roman" w:eastAsia="Times New Roman" w:hAnsi="Times New Roman" w:cs="Times New Roman"/>
          <w:sz w:val="24"/>
          <w:szCs w:val="24"/>
        </w:rPr>
        <w:t>Wolkswagen</w:t>
      </w:r>
      <w:proofErr w:type="spellEnd"/>
      <w:r>
        <w:rPr>
          <w:rFonts w:ascii="Times New Roman" w:eastAsia="Times New Roman" w:hAnsi="Times New Roman" w:cs="Times New Roman"/>
          <w:sz w:val="24"/>
          <w:szCs w:val="24"/>
        </w:rPr>
        <w:t xml:space="preserve"> type JR Turbo Diesel, dont le type ne correspond pas à celui mentionné sur la carte grise ; qu’ayant constaté des désordres sur le fonctionnement du moteur, il a assigné, </w:t>
      </w:r>
      <w:r>
        <w:rPr>
          <w:rFonts w:ascii="Times New Roman" w:eastAsia="Times New Roman" w:hAnsi="Times New Roman" w:cs="Times New Roman"/>
          <w:sz w:val="24"/>
          <w:szCs w:val="24"/>
        </w:rPr>
        <w:t>après expertise son vendeur en résolution de la vente sur le fondement de la garantie des vices cachés ;</w:t>
      </w:r>
    </w:p>
    <w:p w14:paraId="3DDA7F2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24D7B0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moyen unique, pris en sa première branche :</w:t>
      </w:r>
    </w:p>
    <w:p w14:paraId="717660C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6CE32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fait grief à l’arrêt attaqué d’avoir rejeté sa demande alors selon le moyen qu’en retenant, pour débouter l’acheteur de sa demande, que le fait que le véhicule automobile ne satisfaisait pas aux exigences administratives et partant, n’é</w:t>
      </w:r>
      <w:r>
        <w:rPr>
          <w:rFonts w:ascii="Times New Roman" w:eastAsia="Times New Roman" w:hAnsi="Times New Roman" w:cs="Times New Roman"/>
          <w:sz w:val="24"/>
          <w:szCs w:val="24"/>
        </w:rPr>
        <w:t>tait pas assurable, n’aurait pas rendu ce véhicule inapte à circuler et n’aurait pas constitué un vice caché, la cour d’appel a violé l’article 1641 du Code civil ;</w:t>
      </w:r>
    </w:p>
    <w:p w14:paraId="1D534CF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BCC55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Mais attendu que la cour d’appel qui a constaté que le véhicule vendu était doté d’un mo</w:t>
      </w:r>
      <w:r>
        <w:rPr>
          <w:rFonts w:ascii="Times New Roman" w:eastAsia="Times New Roman" w:hAnsi="Times New Roman" w:cs="Times New Roman"/>
          <w:sz w:val="24"/>
          <w:szCs w:val="24"/>
        </w:rPr>
        <w:t>teur qui ne correspondait pas à celui mentionné sur la carte grise, qu’il n’était pas conforme à la réglementation technique et qu’il ne pouvait être assuré, en a exactement déduit qu’il ne correspondait pas aux spécifications convenues entre les parties e</w:t>
      </w:r>
      <w:r>
        <w:rPr>
          <w:rFonts w:ascii="Times New Roman" w:eastAsia="Times New Roman" w:hAnsi="Times New Roman" w:cs="Times New Roman"/>
          <w:sz w:val="24"/>
          <w:szCs w:val="24"/>
        </w:rPr>
        <w:t>t que le vendeur avait ainsi manqué à son obligation de délivrance ; que le moyen n’est pas fondé ;</w:t>
      </w:r>
    </w:p>
    <w:p w14:paraId="27EAC4F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492F9F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sur le moyen unique, pris en sa deuxième branche :</w:t>
      </w:r>
    </w:p>
    <w:p w14:paraId="458C687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68FD70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l’article 1603 du Code civil, ensemble l’article 12, alinéa 2, du nouveau Code de procédure c</w:t>
      </w:r>
      <w:r>
        <w:rPr>
          <w:rFonts w:ascii="Times New Roman" w:eastAsia="Times New Roman" w:hAnsi="Times New Roman" w:cs="Times New Roman"/>
          <w:sz w:val="24"/>
          <w:szCs w:val="24"/>
        </w:rPr>
        <w:t>ivile ;</w:t>
      </w:r>
    </w:p>
    <w:p w14:paraId="4738D37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14CD8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pour rejeter la demande en résolution de la vente formée par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l’arrêt attaqué retient que celui-ci a fondé exclusivement son action sur l’article 1641 du Code civil et que les conditions d’application de ce texte ne sont pas r</w:t>
      </w:r>
      <w:r>
        <w:rPr>
          <w:rFonts w:ascii="Times New Roman" w:eastAsia="Times New Roman" w:hAnsi="Times New Roman" w:cs="Times New Roman"/>
          <w:sz w:val="24"/>
          <w:szCs w:val="24"/>
        </w:rPr>
        <w:t>éunies ;</w:t>
      </w:r>
    </w:p>
    <w:p w14:paraId="3B1E6DD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968C63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qu’en statuant ainsi alors qu’elle était saisie d’une demande de résolution d’une vente, sans rechercher si cette demande inexactement fondée sur la garantie des vices cachés, ne pouvait aboutir sur le fondement d’un manquement du vendeu</w:t>
      </w:r>
      <w:r>
        <w:rPr>
          <w:rFonts w:ascii="Times New Roman" w:eastAsia="Times New Roman" w:hAnsi="Times New Roman" w:cs="Times New Roman"/>
          <w:sz w:val="24"/>
          <w:szCs w:val="24"/>
        </w:rPr>
        <w:t>r à son obligation de délivrance qu’elle avait retenu, la cour d’appel n’a pas donné de base légale à sa décision au regard des textes susvisés ;</w:t>
      </w:r>
    </w:p>
    <w:p w14:paraId="6389288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E3FF1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w:t>
      </w:r>
    </w:p>
    <w:p w14:paraId="08BDAC2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F81769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CASSE ET ANNULE, dans toutes ses dispositions, l’arrêt rendu le 22 septembre 2000, entre les parties, par la cour d’appel de Versailles ; remet, en conséquence, la cause et les parties dans l’état où elles se trouvaient avant ledit arrêt et, pour être fai</w:t>
      </w:r>
      <w:r>
        <w:rPr>
          <w:rFonts w:ascii="Times New Roman" w:eastAsia="Times New Roman" w:hAnsi="Times New Roman" w:cs="Times New Roman"/>
          <w:sz w:val="24"/>
          <w:szCs w:val="24"/>
        </w:rPr>
        <w:t>t droit, les renvoie devant la cour d’appel de Versailles, autrement composée ;</w:t>
      </w:r>
    </w:p>
    <w:p w14:paraId="54AF10F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B2B924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1968102"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5E008CF" w14:textId="77777777" w:rsidR="0080796B" w:rsidRDefault="00EE6E72">
      <w:pPr>
        <w:spacing w:after="0" w:line="240" w:lineRule="auto"/>
        <w:rPr>
          <w:rFonts w:ascii="Times New Roman" w:eastAsia="Times New Roman" w:hAnsi="Times New Roman" w:cs="Times New Roman"/>
          <w:sz w:val="24"/>
          <w:szCs w:val="24"/>
        </w:rPr>
      </w:pPr>
      <w:r>
        <w:br w:type="page"/>
      </w:r>
    </w:p>
    <w:p w14:paraId="2EBEDA4C" w14:textId="77777777" w:rsidR="0080796B" w:rsidRDefault="00EE6E7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Doc 3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1, 13 mars 2008</w:t>
      </w:r>
    </w:p>
    <w:p w14:paraId="6AC95B1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9B783A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COUR DE CASSATION, PREMIÈRE CHAMBRE CIVILE, a rendu l’arrêt suivant : </w:t>
      </w:r>
    </w:p>
    <w:p w14:paraId="2041730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E7C97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Joint les pourvois n° D 06-20.152 et V 06-20.443 qui sont conn</w:t>
      </w:r>
      <w:r>
        <w:rPr>
          <w:rFonts w:ascii="Times New Roman" w:eastAsia="Times New Roman" w:hAnsi="Times New Roman" w:cs="Times New Roman"/>
          <w:sz w:val="24"/>
          <w:szCs w:val="24"/>
        </w:rPr>
        <w:t>exes ;</w:t>
      </w:r>
    </w:p>
    <w:p w14:paraId="1C27900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CC205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Donne acte à la société ECG du désistement de son pourvoi à l’encontre de la société </w:t>
      </w:r>
      <w:proofErr w:type="spellStart"/>
      <w:r>
        <w:rPr>
          <w:rFonts w:ascii="Times New Roman" w:eastAsia="Times New Roman" w:hAnsi="Times New Roman" w:cs="Times New Roman"/>
          <w:sz w:val="24"/>
          <w:szCs w:val="24"/>
        </w:rPr>
        <w:t>Ottorose</w:t>
      </w:r>
      <w:proofErr w:type="spellEnd"/>
      <w:r>
        <w:rPr>
          <w:rFonts w:ascii="Times New Roman" w:eastAsia="Times New Roman" w:hAnsi="Times New Roman" w:cs="Times New Roman"/>
          <w:sz w:val="24"/>
          <w:szCs w:val="24"/>
        </w:rPr>
        <w:t xml:space="preserve"> Textiles, et à la société </w:t>
      </w:r>
      <w:proofErr w:type="spellStart"/>
      <w:r>
        <w:rPr>
          <w:rFonts w:ascii="Times New Roman" w:eastAsia="Times New Roman" w:hAnsi="Times New Roman" w:cs="Times New Roman"/>
          <w:sz w:val="24"/>
          <w:szCs w:val="24"/>
        </w:rPr>
        <w:t>Pasarela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Textil</w:t>
      </w:r>
      <w:proofErr w:type="spellEnd"/>
      <w:r>
        <w:rPr>
          <w:rFonts w:ascii="Times New Roman" w:eastAsia="Times New Roman" w:hAnsi="Times New Roman" w:cs="Times New Roman"/>
          <w:sz w:val="24"/>
          <w:szCs w:val="24"/>
        </w:rPr>
        <w:t xml:space="preserve"> du désistement de son pourvoi à l’encontre des sociétés La Redoute, ECG et </w:t>
      </w:r>
      <w:proofErr w:type="spellStart"/>
      <w:r>
        <w:rPr>
          <w:rFonts w:ascii="Times New Roman" w:eastAsia="Times New Roman" w:hAnsi="Times New Roman" w:cs="Times New Roman"/>
          <w:sz w:val="24"/>
          <w:szCs w:val="24"/>
        </w:rPr>
        <w:t>Ottorose</w:t>
      </w:r>
      <w:proofErr w:type="spellEnd"/>
      <w:r>
        <w:rPr>
          <w:rFonts w:ascii="Times New Roman" w:eastAsia="Times New Roman" w:hAnsi="Times New Roman" w:cs="Times New Roman"/>
          <w:sz w:val="24"/>
          <w:szCs w:val="24"/>
        </w:rPr>
        <w:t xml:space="preserve"> Textile Ltd ;</w:t>
      </w:r>
    </w:p>
    <w:p w14:paraId="1600DF3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7F999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w:t>
      </w:r>
      <w:r>
        <w:rPr>
          <w:rFonts w:ascii="Times New Roman" w:eastAsia="Times New Roman" w:hAnsi="Times New Roman" w:cs="Times New Roman"/>
          <w:sz w:val="24"/>
          <w:szCs w:val="24"/>
        </w:rPr>
        <w:t xml:space="preserve"> la société La Redoute a mis en vente dans son catalogue “printemps/été 2000” des vêtements fabriqués par la société </w:t>
      </w:r>
      <w:proofErr w:type="spellStart"/>
      <w:r>
        <w:rPr>
          <w:rFonts w:ascii="Times New Roman" w:eastAsia="Times New Roman" w:hAnsi="Times New Roman" w:cs="Times New Roman"/>
          <w:sz w:val="24"/>
          <w:szCs w:val="24"/>
        </w:rPr>
        <w:t>Inbelco</w:t>
      </w:r>
      <w:proofErr w:type="spellEnd"/>
      <w:r>
        <w:rPr>
          <w:rFonts w:ascii="Times New Roman" w:eastAsia="Times New Roman" w:hAnsi="Times New Roman" w:cs="Times New Roman"/>
          <w:sz w:val="24"/>
          <w:szCs w:val="24"/>
        </w:rPr>
        <w:t xml:space="preserve"> International (devenue ECG) avec des tissus fournis par la société </w:t>
      </w:r>
      <w:proofErr w:type="spellStart"/>
      <w:r>
        <w:rPr>
          <w:rFonts w:ascii="Times New Roman" w:eastAsia="Times New Roman" w:hAnsi="Times New Roman" w:cs="Times New Roman"/>
          <w:sz w:val="24"/>
          <w:szCs w:val="24"/>
        </w:rPr>
        <w:t>Pasarela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Textil</w:t>
      </w:r>
      <w:proofErr w:type="spellEnd"/>
      <w:r>
        <w:rPr>
          <w:rFonts w:ascii="Times New Roman" w:eastAsia="Times New Roman" w:hAnsi="Times New Roman" w:cs="Times New Roman"/>
          <w:sz w:val="24"/>
          <w:szCs w:val="24"/>
        </w:rPr>
        <w:t xml:space="preserve"> ; que la société </w:t>
      </w:r>
      <w:proofErr w:type="spellStart"/>
      <w:r>
        <w:rPr>
          <w:rFonts w:ascii="Times New Roman" w:eastAsia="Times New Roman" w:hAnsi="Times New Roman" w:cs="Times New Roman"/>
          <w:sz w:val="24"/>
          <w:szCs w:val="24"/>
        </w:rPr>
        <w:t>Komar</w:t>
      </w:r>
      <w:proofErr w:type="spellEnd"/>
      <w:r>
        <w:rPr>
          <w:rFonts w:ascii="Times New Roman" w:eastAsia="Times New Roman" w:hAnsi="Times New Roman" w:cs="Times New Roman"/>
          <w:sz w:val="24"/>
          <w:szCs w:val="24"/>
        </w:rPr>
        <w:t xml:space="preserve"> &amp; Cie, prétendant que ces</w:t>
      </w:r>
      <w:r>
        <w:rPr>
          <w:rFonts w:ascii="Times New Roman" w:eastAsia="Times New Roman" w:hAnsi="Times New Roman" w:cs="Times New Roman"/>
          <w:sz w:val="24"/>
          <w:szCs w:val="24"/>
        </w:rPr>
        <w:t xml:space="preserve"> tissus contrefaisaient son modèle “épis de blé” créé en 1997, a assigné les susnommées en contrefaçon et en concurrence déloyale ; que par l’arrêt attaqué, la cour d’appel a condamné in </w:t>
      </w:r>
      <w:proofErr w:type="spellStart"/>
      <w:r>
        <w:rPr>
          <w:rFonts w:ascii="Times New Roman" w:eastAsia="Times New Roman" w:hAnsi="Times New Roman" w:cs="Times New Roman"/>
          <w:sz w:val="24"/>
          <w:szCs w:val="24"/>
        </w:rPr>
        <w:t>solidum</w:t>
      </w:r>
      <w:proofErr w:type="spellEnd"/>
      <w:r>
        <w:rPr>
          <w:rFonts w:ascii="Times New Roman" w:eastAsia="Times New Roman" w:hAnsi="Times New Roman" w:cs="Times New Roman"/>
          <w:sz w:val="24"/>
          <w:szCs w:val="24"/>
        </w:rPr>
        <w:t xml:space="preserve"> les trois sociétés à payer à la société </w:t>
      </w:r>
      <w:proofErr w:type="spellStart"/>
      <w:r>
        <w:rPr>
          <w:rFonts w:ascii="Times New Roman" w:eastAsia="Times New Roman" w:hAnsi="Times New Roman" w:cs="Times New Roman"/>
          <w:sz w:val="24"/>
          <w:szCs w:val="24"/>
        </w:rPr>
        <w:t>Komar</w:t>
      </w:r>
      <w:proofErr w:type="spellEnd"/>
      <w:r>
        <w:rPr>
          <w:rFonts w:ascii="Times New Roman" w:eastAsia="Times New Roman" w:hAnsi="Times New Roman" w:cs="Times New Roman"/>
          <w:sz w:val="24"/>
          <w:szCs w:val="24"/>
        </w:rPr>
        <w:t xml:space="preserve"> &amp; Cie la somme </w:t>
      </w:r>
      <w:r>
        <w:rPr>
          <w:rFonts w:ascii="Times New Roman" w:eastAsia="Times New Roman" w:hAnsi="Times New Roman" w:cs="Times New Roman"/>
          <w:sz w:val="24"/>
          <w:szCs w:val="24"/>
        </w:rPr>
        <w:t xml:space="preserve">de 300 000 euros à titre de dommages-intérêts, a prononcé les mesures d’interdiction et de publication habituelles, et a rejeté la demande de garantie formée par la société ECG à l’encontre de la société </w:t>
      </w:r>
      <w:proofErr w:type="spellStart"/>
      <w:r>
        <w:rPr>
          <w:rFonts w:ascii="Times New Roman" w:eastAsia="Times New Roman" w:hAnsi="Times New Roman" w:cs="Times New Roman"/>
          <w:sz w:val="24"/>
          <w:szCs w:val="24"/>
        </w:rPr>
        <w:t>Pasarela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Textil</w:t>
      </w:r>
      <w:proofErr w:type="spellEnd"/>
      <w:r>
        <w:rPr>
          <w:rFonts w:ascii="Times New Roman" w:eastAsia="Times New Roman" w:hAnsi="Times New Roman" w:cs="Times New Roman"/>
          <w:sz w:val="24"/>
          <w:szCs w:val="24"/>
        </w:rPr>
        <w:t>, ainsi que toutes autres demandes ;</w:t>
      </w:r>
    </w:p>
    <w:p w14:paraId="4C333B0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6D205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premier moyen, pris en ses deux branches et le second moyen, pris en ses première et quatrième branches du pourvoi principal de la société ECG, le premier moyen, pris en ses deux branches du pourvoi incident de la société La Redoute et le moyen un</w:t>
      </w:r>
      <w:r>
        <w:rPr>
          <w:rFonts w:ascii="Times New Roman" w:eastAsia="Times New Roman" w:hAnsi="Times New Roman" w:cs="Times New Roman"/>
          <w:sz w:val="24"/>
          <w:szCs w:val="24"/>
        </w:rPr>
        <w:t xml:space="preserve">ique pris en ses deux branches de la société </w:t>
      </w:r>
      <w:proofErr w:type="spellStart"/>
      <w:r>
        <w:rPr>
          <w:rFonts w:ascii="Times New Roman" w:eastAsia="Times New Roman" w:hAnsi="Times New Roman" w:cs="Times New Roman"/>
          <w:sz w:val="24"/>
          <w:szCs w:val="24"/>
        </w:rPr>
        <w:t>Pasarela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Textil</w:t>
      </w:r>
      <w:proofErr w:type="spellEnd"/>
      <w:r>
        <w:rPr>
          <w:rFonts w:ascii="Times New Roman" w:eastAsia="Times New Roman" w:hAnsi="Times New Roman" w:cs="Times New Roman"/>
          <w:sz w:val="24"/>
          <w:szCs w:val="24"/>
        </w:rPr>
        <w:t xml:space="preserve">, tels qu’ils figurent dans les mémoires respectifs de ces parties et sont reproduits en annexe : </w:t>
      </w:r>
    </w:p>
    <w:p w14:paraId="497F63E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7297AA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les griefs des moyens ne seraient pas de nature à permettre l’admission des pourvoi</w:t>
      </w:r>
      <w:r>
        <w:rPr>
          <w:rFonts w:ascii="Times New Roman" w:eastAsia="Times New Roman" w:hAnsi="Times New Roman" w:cs="Times New Roman"/>
          <w:sz w:val="24"/>
          <w:szCs w:val="24"/>
        </w:rPr>
        <w:t>s ;</w:t>
      </w:r>
    </w:p>
    <w:p w14:paraId="4D522BC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677C5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sur le second moyen, pris en ses deuxième et troisième branches du pourvoi principal de la société ECG :</w:t>
      </w:r>
    </w:p>
    <w:p w14:paraId="7118FA4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46613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l’article 1626 du code civil ;</w:t>
      </w:r>
    </w:p>
    <w:p w14:paraId="350D4D4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A5AA11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la garantie d’éviction est due par tout cédant d’un droit de propriété, corporel ou incorporel, sauf à établir que le cessionnaire a participé aux actes de contrefaçon en mettant en vente un produit qu’il savait contrefait ; </w:t>
      </w:r>
    </w:p>
    <w:p w14:paraId="61E3CD3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B43D41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pour rejeter la demande en garantie d’éviction formée par la société ECG, l’arrêt énonce que, professionnelle dans le domaine de la confection, cette société devait s’assurer que le tissu qu’elle avait acquis auprès de la société </w:t>
      </w:r>
      <w:proofErr w:type="spellStart"/>
      <w:r>
        <w:rPr>
          <w:rFonts w:ascii="Times New Roman" w:eastAsia="Times New Roman" w:hAnsi="Times New Roman" w:cs="Times New Roman"/>
          <w:sz w:val="24"/>
          <w:szCs w:val="24"/>
        </w:rPr>
        <w:t>Pasarela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Texti</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aux fins de fabriquer des vêtements n’était pas protégé par des droits de propriété intellectuelle ;</w:t>
      </w:r>
    </w:p>
    <w:p w14:paraId="742BBFB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67594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Qu’en statuant ainsi, alors que la cour d’appel ne pouvait exclure l’action en garantie dirigée contre le vendeur en opposant à l’acquéreur sa seule qu</w:t>
      </w:r>
      <w:r>
        <w:rPr>
          <w:rFonts w:ascii="Times New Roman" w:eastAsia="Times New Roman" w:hAnsi="Times New Roman" w:cs="Times New Roman"/>
          <w:sz w:val="24"/>
          <w:szCs w:val="24"/>
        </w:rPr>
        <w:t xml:space="preserve">alité de professionnel et sans constater que ce dernier avait eu une connaissance effective de l’existence de la contrefaçon, la cour d’appel a violé le texte susvisé ; </w:t>
      </w:r>
    </w:p>
    <w:p w14:paraId="10D7D0E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751F6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sur le second moyen du pourvoi incident de la société La Redoute :</w:t>
      </w:r>
    </w:p>
    <w:p w14:paraId="2242A03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71082F3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l’article</w:t>
      </w:r>
      <w:r>
        <w:rPr>
          <w:rFonts w:ascii="Times New Roman" w:eastAsia="Times New Roman" w:hAnsi="Times New Roman" w:cs="Times New Roman"/>
          <w:sz w:val="24"/>
          <w:szCs w:val="24"/>
        </w:rPr>
        <w:t xml:space="preserve"> 455 du code de procédure civile ;</w:t>
      </w:r>
    </w:p>
    <w:p w14:paraId="62096D9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BEDEE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qu’en rejetant sans motif le surplus des demandes lesquelles comprenaient le recours en garantie formée par la société La Redoute à l’encontre de son fournisseur si elle venait à être condamnée, la cour d’appel </w:t>
      </w:r>
      <w:r>
        <w:rPr>
          <w:rFonts w:ascii="Times New Roman" w:eastAsia="Times New Roman" w:hAnsi="Times New Roman" w:cs="Times New Roman"/>
          <w:sz w:val="24"/>
          <w:szCs w:val="24"/>
        </w:rPr>
        <w:t xml:space="preserve">n’a pas satisfait </w:t>
      </w:r>
      <w:proofErr w:type="gramStart"/>
      <w:r>
        <w:rPr>
          <w:rFonts w:ascii="Times New Roman" w:eastAsia="Times New Roman" w:hAnsi="Times New Roman" w:cs="Times New Roman"/>
          <w:sz w:val="24"/>
          <w:szCs w:val="24"/>
        </w:rPr>
        <w:t>aux exigence</w:t>
      </w:r>
      <w:proofErr w:type="gramEnd"/>
      <w:r>
        <w:rPr>
          <w:rFonts w:ascii="Times New Roman" w:eastAsia="Times New Roman" w:hAnsi="Times New Roman" w:cs="Times New Roman"/>
          <w:sz w:val="24"/>
          <w:szCs w:val="24"/>
        </w:rPr>
        <w:t xml:space="preserve"> du texte susvisé ; </w:t>
      </w:r>
    </w:p>
    <w:p w14:paraId="1B7A069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35C351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w:t>
      </w:r>
    </w:p>
    <w:p w14:paraId="736E53F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9891B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CASSE ET ANNULE, mais seulement sur les actions en garantie exercées par la société ECG à l’encontre de la société </w:t>
      </w:r>
      <w:proofErr w:type="spellStart"/>
      <w:r>
        <w:rPr>
          <w:rFonts w:ascii="Times New Roman" w:eastAsia="Times New Roman" w:hAnsi="Times New Roman" w:cs="Times New Roman"/>
          <w:sz w:val="24"/>
          <w:szCs w:val="24"/>
        </w:rPr>
        <w:t>Pasarela</w:t>
      </w:r>
      <w:proofErr w:type="spellEnd"/>
      <w:r>
        <w:rPr>
          <w:rFonts w:ascii="Times New Roman" w:eastAsia="Times New Roman" w:hAnsi="Times New Roman" w:cs="Times New Roman"/>
          <w:sz w:val="24"/>
          <w:szCs w:val="24"/>
        </w:rPr>
        <w:t xml:space="preserve"> et par la société La Redoute à l’encontre de la société ECG,</w:t>
      </w:r>
      <w:r>
        <w:rPr>
          <w:rFonts w:ascii="Times New Roman" w:eastAsia="Times New Roman" w:hAnsi="Times New Roman" w:cs="Times New Roman"/>
          <w:sz w:val="24"/>
          <w:szCs w:val="24"/>
        </w:rPr>
        <w:t xml:space="preserve"> l’arrêt rendu le 22 mars 2006, entre les parties, par la cour d’appel de Paris ; remet, en conséquence, la cause et les parties concernées dans l’état où elles se trouvaient avant ledit arrêt et, pour être fait droit, les renvoie devant la cour d’appel de</w:t>
      </w:r>
      <w:r>
        <w:rPr>
          <w:rFonts w:ascii="Times New Roman" w:eastAsia="Times New Roman" w:hAnsi="Times New Roman" w:cs="Times New Roman"/>
          <w:sz w:val="24"/>
          <w:szCs w:val="24"/>
        </w:rPr>
        <w:t xml:space="preserve"> Paris, autrement composée ;</w:t>
      </w:r>
    </w:p>
    <w:p w14:paraId="7A1BB32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3B41764"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7EF20A80" w14:textId="77777777" w:rsidR="0080796B" w:rsidRDefault="00EE6E72">
      <w:pPr>
        <w:spacing w:after="0" w:line="240" w:lineRule="auto"/>
        <w:rPr>
          <w:rFonts w:ascii="Times New Roman" w:eastAsia="Times New Roman" w:hAnsi="Times New Roman" w:cs="Times New Roman"/>
          <w:sz w:val="24"/>
          <w:szCs w:val="24"/>
        </w:rPr>
      </w:pPr>
      <w:r>
        <w:br w:type="page"/>
      </w:r>
    </w:p>
    <w:p w14:paraId="2689D307" w14:textId="77777777" w:rsidR="0080796B" w:rsidRDefault="00EE6E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 4 : Cass. civ. 1, 28 avril 1976</w:t>
      </w:r>
    </w:p>
    <w:p w14:paraId="1071773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LES DEUX MOYENS REUNIS : ATTENDU QU’IL RESULTE DES ENONCIATIONS DES JUGES DU FOND QUE LA DAME X... A ACHETE POUR SON PETIT-FILS, LE 20 NOVEMBRE 1969, A LA SOCIETE D’EXPLOITATION DE D</w:t>
      </w:r>
      <w:r>
        <w:rPr>
          <w:rFonts w:ascii="Times New Roman" w:eastAsia="Times New Roman" w:hAnsi="Times New Roman" w:cs="Times New Roman"/>
          <w:sz w:val="24"/>
          <w:szCs w:val="24"/>
        </w:rPr>
        <w:t>IFFUSION ET DE LA DISTRIBUTION DE MATERIEL AUTOMOBILE (SEDDMA) UN VEHICULE D’OCCASION ;</w:t>
      </w:r>
    </w:p>
    <w:p w14:paraId="6BF6E08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911792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LE 24 JANVIER SUIVANT, CETTE VOITURE AUTOMOBILE, SUR LAQUELLE LES ACQUEREURS AVAIENT FAIT EFFECTUER DIFFERENTES REPARATIONS, A ETE SAISIE PAR LA POLICE JUDICIAIR</w:t>
      </w:r>
      <w:r>
        <w:rPr>
          <w:rFonts w:ascii="Times New Roman" w:eastAsia="Times New Roman" w:hAnsi="Times New Roman" w:cs="Times New Roman"/>
          <w:sz w:val="24"/>
          <w:szCs w:val="24"/>
        </w:rPr>
        <w:t>E POUR LES BESOINS D’UNE PROCEDURE PENALE DILIGENTEE CONTRE UN TIERS QUI AVAIT, ANTERIEUREMENT A L’ACQUISITION DU VEHICULE PAR LA SEDDMA, APPOSE SUR LE CHASSIS DE FAUSSES PLAQUES D’IDENTIFICATION ET UTILISE UN CERTIFICAT D’IMMATRICULATION NON APPLICABLE AU</w:t>
      </w:r>
      <w:r>
        <w:rPr>
          <w:rFonts w:ascii="Times New Roman" w:eastAsia="Times New Roman" w:hAnsi="Times New Roman" w:cs="Times New Roman"/>
          <w:sz w:val="24"/>
          <w:szCs w:val="24"/>
        </w:rPr>
        <w:t xml:space="preserve"> VEHICULE ;</w:t>
      </w:r>
    </w:p>
    <w:p w14:paraId="2E62D29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035046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L’ARRET ATTAQUE, STATUANT SUR L’ACTION EN GARANTIE FORMEE CONTRE LA SEDDMA PAR LES CONSORTS X... A QUI, A DEFAUT DU LEGITIME PROPRIETAIRE RESTE INCONNU, LA RESTITUTION DE LA VOITURE AVAIT ETE OFFERTE PAR LA PREFECTURE DE POLICE DE PARIS, </w:t>
      </w:r>
      <w:r>
        <w:rPr>
          <w:rFonts w:ascii="Times New Roman" w:eastAsia="Times New Roman" w:hAnsi="Times New Roman" w:cs="Times New Roman"/>
          <w:sz w:val="24"/>
          <w:szCs w:val="24"/>
        </w:rPr>
        <w:t>MAIS A L’ETAT DE FERRAILLE INUTILISABLE, A CONDAMNE LA SOCIETE VENDERESSE A REMBOURSER LE PRIX DU VEHICULE ET LE MONTANT DES REPARATIONS ET A PAYER AUX ACQUEREURS DES DOMMAGES-INTERETS ;</w:t>
      </w:r>
    </w:p>
    <w:p w14:paraId="2CF7BE3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748033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QU’IL EST REPROCHE A LA COUR D’APPEL D’AVOIR STATUE ALORS Q</w:t>
      </w:r>
      <w:r>
        <w:rPr>
          <w:rFonts w:ascii="Times New Roman" w:eastAsia="Times New Roman" w:hAnsi="Times New Roman" w:cs="Times New Roman"/>
          <w:sz w:val="24"/>
          <w:szCs w:val="24"/>
        </w:rPr>
        <w:t>UE, FAUTE D’UNE EVICTION AU SENS DE L’ARTICLE 1625 DU CODE CIVIL, ELLE N’AURAIT PU, SANS VIOLER CE TEXTE, METTRE A LA CHARGE DE LA SEDDMA UNE GARANTIE D’EVICTION ;</w:t>
      </w:r>
    </w:p>
    <w:p w14:paraId="60AF3AC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D6EC52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CE SERAIT EGALEMENT EN VIOLATION DE L’ARTICLE 1630 DU MEME CODE QUE L’ARRET ATTAQUE A </w:t>
      </w:r>
      <w:r>
        <w:rPr>
          <w:rFonts w:ascii="Times New Roman" w:eastAsia="Times New Roman" w:hAnsi="Times New Roman" w:cs="Times New Roman"/>
          <w:sz w:val="24"/>
          <w:szCs w:val="24"/>
        </w:rPr>
        <w:t>CONDAMNE LA SOCIETE A RESTITUER LE PRIX DU VEHICULE ET A PAYER DES DOMMAGES-INTERETS ;</w:t>
      </w:r>
    </w:p>
    <w:p w14:paraId="5D8F23D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75FD14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QU’ENFIN IL AURAIT ETE DEMONTRE DANS DES CONCLUSIONS LAISSEES SANS REPONSE QUE LES CONDITIONS DE L’ACTION EN GARANTIE D’EVICTION N’AURAIENT PAS ETE REUNIES ET QU’UNE REVENDICATION EVENTUELLE DU VEHICULE NE POUVAIT ENTRAINER QUE L’APPLICATION DE L’ARTICLE 2</w:t>
      </w:r>
      <w:r>
        <w:rPr>
          <w:rFonts w:ascii="Times New Roman" w:eastAsia="Times New Roman" w:hAnsi="Times New Roman" w:cs="Times New Roman"/>
          <w:sz w:val="24"/>
          <w:szCs w:val="24"/>
        </w:rPr>
        <w:t>280 DU CODE CIVIL ;</w:t>
      </w:r>
    </w:p>
    <w:p w14:paraId="11ECF55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A8C4B2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SI L’EVICTION OU LE DOMMAGE CAUSE A L’ACQUEREUR D’UN BIEN PAR LE FAIT DE L’AUTORITE PUBLIQUE NE PEUT, EN GENERAL, DONNER LIEU CONTRE LE VENDEUR A UNE ACTION EN GARANTIE, IL EN EST AUTREMENT LORSQUE CET ACTE EST LA CON</w:t>
      </w:r>
      <w:r>
        <w:rPr>
          <w:rFonts w:ascii="Times New Roman" w:eastAsia="Times New Roman" w:hAnsi="Times New Roman" w:cs="Times New Roman"/>
          <w:sz w:val="24"/>
          <w:szCs w:val="24"/>
        </w:rPr>
        <w:t>SEQUENCE DE CIRCONSTANCES ANTERIEURES A LA VENTE ET QUE PAR AUCUN MOYEN, L’ACQUEREUR N’EN PEUT EMPECHER LES EFFETS, QU’A CET EGARD L’ARRET ATTAQUE, APRES AVOIR RELEVE QUE LA SAISIE DU VEHICULE PAR LA POLICE ETAIT DUE AU FAIT QU’IL AVAIT ETE FAUSSEMENT IMMA</w:t>
      </w:r>
      <w:r>
        <w:rPr>
          <w:rFonts w:ascii="Times New Roman" w:eastAsia="Times New Roman" w:hAnsi="Times New Roman" w:cs="Times New Roman"/>
          <w:sz w:val="24"/>
          <w:szCs w:val="24"/>
        </w:rPr>
        <w:t>TRICULE, A ENONCE QUE LA POSSESSION PAISIBLE D’UNE VOITURE AUTOMOBILE EST SUBORDONNEE AU RESPECT DES PRESCRIPTIONS DE L’ARTICLE R 97 DU CODE DE LA ROUTE ;</w:t>
      </w:r>
    </w:p>
    <w:p w14:paraId="032B83B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3767C81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QU’IL A ETE ETABLI QU’AU MOMENT DE LA VENTE PAR LA SEDDMA CES OBLIGATIONS N’ETAIENT PAS REMPLIES, P</w:t>
      </w:r>
      <w:r>
        <w:rPr>
          <w:rFonts w:ascii="Times New Roman" w:eastAsia="Times New Roman" w:hAnsi="Times New Roman" w:cs="Times New Roman"/>
          <w:sz w:val="24"/>
          <w:szCs w:val="24"/>
        </w:rPr>
        <w:t>UISQUE LES PLAQUES ET NUMEROS DU CONSTRUCTEUR AVAIENT ETE FALSIFIES ET QU’IL NE SAURAIT ETRE REPROCHE AUX CONSORTS X... D’AVOIR TARDE A DEMANDER LA RESTITUTION DE LA VOITURE LITIGIEUSE ;</w:t>
      </w:r>
    </w:p>
    <w:p w14:paraId="2373C2F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B0B7FC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PAR CES MOTIFS, LA COUR D’APPEL QUI A IMPLICITEMENT REPONDU AUX</w:t>
      </w:r>
      <w:r>
        <w:rPr>
          <w:rFonts w:ascii="Times New Roman" w:eastAsia="Times New Roman" w:hAnsi="Times New Roman" w:cs="Times New Roman"/>
          <w:sz w:val="24"/>
          <w:szCs w:val="24"/>
        </w:rPr>
        <w:t xml:space="preserve"> CONCLUSIONS DONT ELLE ETAIT SAISIE, A LEGALEMENT JUSTIFIE SA DECISION ;</w:t>
      </w:r>
    </w:p>
    <w:p w14:paraId="7332E84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30537C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 REJETTE LE POURVOI FORME CONTRE L’ARRET RENDU LE 22 DECEMBRE 1973 PAR LA COUR D’APPEL DE PARIS.</w:t>
      </w:r>
    </w:p>
    <w:p w14:paraId="7A3A3E7C" w14:textId="77777777" w:rsidR="0080796B" w:rsidRDefault="0080796B">
      <w:pPr>
        <w:rPr>
          <w:sz w:val="24"/>
          <w:szCs w:val="24"/>
        </w:rPr>
      </w:pPr>
    </w:p>
    <w:p w14:paraId="277C0FCA" w14:textId="77777777" w:rsidR="0080796B" w:rsidRDefault="00EE6E72">
      <w:pPr>
        <w:spacing w:after="0" w:line="240" w:lineRule="auto"/>
        <w:rPr>
          <w:rFonts w:ascii="Times New Roman" w:eastAsia="Times New Roman" w:hAnsi="Times New Roman" w:cs="Times New Roman"/>
          <w:sz w:val="24"/>
          <w:szCs w:val="24"/>
        </w:rPr>
      </w:pPr>
      <w:r>
        <w:br w:type="page"/>
      </w:r>
    </w:p>
    <w:p w14:paraId="5D7682C9" w14:textId="77777777" w:rsidR="0080796B" w:rsidRDefault="00EE6E72">
      <w:pPr>
        <w:rPr>
          <w:b/>
          <w:sz w:val="24"/>
          <w:szCs w:val="24"/>
        </w:rPr>
      </w:pPr>
      <w:r>
        <w:rPr>
          <w:rFonts w:ascii="Times New Roman" w:eastAsia="Times New Roman" w:hAnsi="Times New Roman" w:cs="Times New Roman"/>
          <w:b/>
          <w:sz w:val="24"/>
          <w:szCs w:val="24"/>
        </w:rPr>
        <w:lastRenderedPageBreak/>
        <w:t xml:space="preserve">Doc 5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3, 30 octobre 1984 </w:t>
      </w:r>
    </w:p>
    <w:p w14:paraId="26844106"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3ABF3B2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MOYEN UNIQUE : ATTENDU SELON L’ARRET ATTAQUE (NOUMEA, 16 DECEMBRE 1982), QUE LE 16 MARS 1979, LES CONSORTS Y... ONT VENDU AUX CONSORTS X... DES PARTS DE LA SOCIETE CIVILE IMMOBILIERE CHAPUIS, PROPRIETAIRE DE TERRAINS SIS SUR LE TERRITOIRE DES NOUVEL</w:t>
      </w:r>
      <w:r>
        <w:rPr>
          <w:rFonts w:ascii="Times New Roman" w:eastAsia="Times New Roman" w:hAnsi="Times New Roman" w:cs="Times New Roman"/>
          <w:sz w:val="24"/>
          <w:szCs w:val="24"/>
        </w:rPr>
        <w:t>LES-HEBRIDES ;</w:t>
      </w:r>
    </w:p>
    <w:p w14:paraId="554D14F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29503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LES CONSORTS X... ONT ASSIGNE EN GARANTIE LES CONSORTS Y... EN RAISON DE LEUR EVICTION RESULTANT DE LA REFORME FONCIERE INCLUSE DANS LA CONSTITUTION DE REPUBLIQUE DES NOUVELLES-HEBRIDES ;</w:t>
      </w:r>
    </w:p>
    <w:p w14:paraId="10F7590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C1FFFF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QU’ILS FONT GRIEF A L’ARRET DE LES AVOIR DEBO</w:t>
      </w:r>
      <w:r>
        <w:rPr>
          <w:rFonts w:ascii="Times New Roman" w:eastAsia="Times New Roman" w:hAnsi="Times New Roman" w:cs="Times New Roman"/>
          <w:sz w:val="24"/>
          <w:szCs w:val="24"/>
        </w:rPr>
        <w:t>UTES, ALORS, SELON LE MOYEN, QUE, “D’UNE PART, IL RESULTE DES ARTICLES 1626, 1628 ET SUIVANTS DU CODE CIVIL QUE L’ACQUEREUR DEPOSSEDE A UN RECOURS EN GARANTIE CONTRE SON VENDEUR LORSQUE L’EVICTION A SA CAUSE DANS UN ACTE DE L’AUTORITE PUBLIQUE QUI EST LA C</w:t>
      </w:r>
      <w:r>
        <w:rPr>
          <w:rFonts w:ascii="Times New Roman" w:eastAsia="Times New Roman" w:hAnsi="Times New Roman" w:cs="Times New Roman"/>
          <w:sz w:val="24"/>
          <w:szCs w:val="24"/>
        </w:rPr>
        <w:t>ONSEQUENCE DIRECTE D’UNE SITUATION OU DE CIRCONSTANCES ANTERIEURES A LA VENTE DE SORTE QU’EN EXIGEANT, POUR L’APPLICATION DE LA GARANTIE, LA PREUVE DE L’EXISTENCE, AVANT L’ETABLISSEMENT DU CONDOMINIUM AUX NOUVELLES-HEBRIDES SUR LES LIEUX INTERESSES D’UN RE</w:t>
      </w:r>
      <w:r>
        <w:rPr>
          <w:rFonts w:ascii="Times New Roman" w:eastAsia="Times New Roman" w:hAnsi="Times New Roman" w:cs="Times New Roman"/>
          <w:sz w:val="24"/>
          <w:szCs w:val="24"/>
        </w:rPr>
        <w:t>GIME DE PROPRIETE “DEFINI ET LEGITIME” ET OU “LE CARACTERE ILLEGITIME DE L’ACQUISITION DES BIENS” PAR LES VENDEURS, L’ARRET ATTAQUE A AJOUTE AUX CONDITIONS LEGALES DE LA GARANTIE DU VENDEUR ET PARTANT A VIOLE LES TEXTES SUSVISES ET QUE, D’AUTRE PART, L’ART</w:t>
      </w:r>
      <w:r>
        <w:rPr>
          <w:rFonts w:ascii="Times New Roman" w:eastAsia="Times New Roman" w:hAnsi="Times New Roman" w:cs="Times New Roman"/>
          <w:sz w:val="24"/>
          <w:szCs w:val="24"/>
        </w:rPr>
        <w:t>ICLE 71 DE LA CONSTITUTION DE LA REPUBLIQUE DES NOUVELLES-HEBRIDES DU 21 OCTOBRE 1981 INVOQUE PAR LES ACHETEURS ET QUI DISPOSE QUE “TOUTES LES TERRES SITUEES DANS LE TERRITOIRE DE LA REPUBLIQUE APPARTIENNENT AUX PROPRIETAIRES COUTUMIERS ET A LEUR DESCENDAN</w:t>
      </w:r>
      <w:r>
        <w:rPr>
          <w:rFonts w:ascii="Times New Roman" w:eastAsia="Times New Roman" w:hAnsi="Times New Roman" w:cs="Times New Roman"/>
          <w:sz w:val="24"/>
          <w:szCs w:val="24"/>
        </w:rPr>
        <w:t>CE” RETABLIT PAR LA-MEME L’ANCIEN DROIT COUTUMIER QUI PREEXISTAIT A LA VENTE ET DONT L’EVICTION ETAIT LA CONSEQUENCE DIRECTE DE SORTE QUE L’ARRET QUI N’A PAS TIRE, QUANT A LA GARANTIE D’EVICTION, LES CONSEQUENCES LEGALES QUI S’IMPOSAIENT DE CETTE DISPOSITI</w:t>
      </w:r>
      <w:r>
        <w:rPr>
          <w:rFonts w:ascii="Times New Roman" w:eastAsia="Times New Roman" w:hAnsi="Times New Roman" w:cs="Times New Roman"/>
          <w:sz w:val="24"/>
          <w:szCs w:val="24"/>
        </w:rPr>
        <w:t>ON CONSTITUTIONNELLE, EST ENTACHE D’UN MANQUE DE BASE LEGALE AU REGARD DE CES MEMES TEXTES” ;</w:t>
      </w:r>
    </w:p>
    <w:p w14:paraId="72AC9CE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30CE81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L’ARRET RELEVE JUSTEMENT QUE L’EVICTION OU LE DOMMAGE CAUSE A L’ACQUEREUR D’UN BIEN PAR LE FAIT DE L’AUTORITE PUBLIQUE NE PEUT DONNER LIEU CONT</w:t>
      </w:r>
      <w:r>
        <w:rPr>
          <w:rFonts w:ascii="Times New Roman" w:eastAsia="Times New Roman" w:hAnsi="Times New Roman" w:cs="Times New Roman"/>
          <w:sz w:val="24"/>
          <w:szCs w:val="24"/>
        </w:rPr>
        <w:t>RE LE VENDEUR A UNE ACTION EN GARANTIE QUE SI CE FAIT NE CONSTITUE QUE LA DECLARATION D’UN DROIT PREEXISTANT A LA VENTE ;</w:t>
      </w:r>
    </w:p>
    <w:p w14:paraId="012FC86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127739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L’ARRET RETIENT SOUVERAINEMENT QUE LES CONSORTS X... QUI PRETENDENT QUE CE DROIT RESIDE DANS LE REGIME FONCIER ANTERIEUR A L’INS</w:t>
      </w:r>
      <w:r>
        <w:rPr>
          <w:rFonts w:ascii="Times New Roman" w:eastAsia="Times New Roman" w:hAnsi="Times New Roman" w:cs="Times New Roman"/>
          <w:sz w:val="24"/>
          <w:szCs w:val="24"/>
        </w:rPr>
        <w:t>TALLATION DU CONDOMINIUM DES NOUVELLES-HEBRIDES NE PROUVENT NI L’EXISTENCE A CETTE EPOQUE ET SUR LES LIEUX D’UN REGIME DE PROPRIETE DEFINI ET LEGITIME, NI LE CARACTERE ILLEGITIME DE L’ACQUISITION DES BIENS PAR LES VENDEURS ;</w:t>
      </w:r>
    </w:p>
    <w:p w14:paraId="018ABB8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49148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 PAR CES SEULS MOTIFS, LA</w:t>
      </w:r>
      <w:r>
        <w:rPr>
          <w:rFonts w:ascii="Times New Roman" w:eastAsia="Times New Roman" w:hAnsi="Times New Roman" w:cs="Times New Roman"/>
          <w:sz w:val="24"/>
          <w:szCs w:val="24"/>
        </w:rPr>
        <w:t xml:space="preserve"> COUR D’APPEL A LEGALEMENT JUSTIFIE SA DECISION ;</w:t>
      </w:r>
    </w:p>
    <w:p w14:paraId="08A65A0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0D7877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 REJETTE LE POURVOI ……….</w:t>
      </w:r>
    </w:p>
    <w:p w14:paraId="1775D048" w14:textId="77777777" w:rsidR="0080796B" w:rsidRDefault="0080796B">
      <w:pPr>
        <w:widowControl w:val="0"/>
        <w:spacing w:after="0" w:line="240" w:lineRule="auto"/>
        <w:rPr>
          <w:rFonts w:ascii="Times New Roman" w:eastAsia="Times New Roman" w:hAnsi="Times New Roman" w:cs="Times New Roman"/>
          <w:b/>
          <w:sz w:val="24"/>
          <w:szCs w:val="24"/>
        </w:rPr>
      </w:pPr>
    </w:p>
    <w:p w14:paraId="1DC41607" w14:textId="77777777" w:rsidR="0080796B" w:rsidRDefault="0080796B">
      <w:pPr>
        <w:widowControl w:val="0"/>
        <w:spacing w:after="0" w:line="240" w:lineRule="auto"/>
        <w:rPr>
          <w:rFonts w:ascii="Times New Roman" w:eastAsia="Times New Roman" w:hAnsi="Times New Roman" w:cs="Times New Roman"/>
          <w:b/>
          <w:sz w:val="24"/>
          <w:szCs w:val="24"/>
        </w:rPr>
      </w:pPr>
    </w:p>
    <w:p w14:paraId="068DC30B" w14:textId="77777777" w:rsidR="0080796B" w:rsidRDefault="00EE6E72">
      <w:pPr>
        <w:spacing w:after="0" w:line="240" w:lineRule="auto"/>
        <w:rPr>
          <w:rFonts w:ascii="Times New Roman" w:eastAsia="Times New Roman" w:hAnsi="Times New Roman" w:cs="Times New Roman"/>
          <w:sz w:val="24"/>
          <w:szCs w:val="24"/>
        </w:rPr>
      </w:pPr>
      <w:r>
        <w:br w:type="page"/>
      </w:r>
    </w:p>
    <w:p w14:paraId="07802ED4" w14:textId="77777777" w:rsidR="0080796B" w:rsidRDefault="00EE6E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 6 : Com., 15 décembre 2009</w:t>
      </w:r>
    </w:p>
    <w:p w14:paraId="5B912679"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6A7DD74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COUR DE CASSATION, CHAMBRE COMMERCIALE, a rendu l’arrêt suivant : </w:t>
      </w:r>
    </w:p>
    <w:p w14:paraId="78B8D18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4A0E5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selon l’arrêt attaqué, que M. X... a fondé les éditions HSV en 2003 ; que par convention de cession du 30 avril 2003, il a cédé à la société Groupe Fleurus, filiale de la soci</w:t>
      </w:r>
      <w:r>
        <w:rPr>
          <w:rFonts w:ascii="Times New Roman" w:eastAsia="Times New Roman" w:hAnsi="Times New Roman" w:cs="Times New Roman"/>
          <w:sz w:val="24"/>
          <w:szCs w:val="24"/>
        </w:rPr>
        <w:t>été Média participation Paris, 58, 91 % du capital de la société HSV avant que les éditions Gallimard ne cèdent à leur tour au groupe Fleurus les 41, 09 % restant ; que M. X... a alors été employé par le groupe Fleurus pour assurer les fonctions de directe</w:t>
      </w:r>
      <w:r>
        <w:rPr>
          <w:rFonts w:ascii="Times New Roman" w:eastAsia="Times New Roman" w:hAnsi="Times New Roman" w:cs="Times New Roman"/>
          <w:sz w:val="24"/>
          <w:szCs w:val="24"/>
        </w:rPr>
        <w:t>ur général délégué de la société HSV devenue Mango ; que M. X... a été licencié ; que les parties ont conclu un accord portant sur les conséquences de la démission des mandats sociaux de M. X... et définissant la portée de l’engagement de non-concurrence d</w:t>
      </w:r>
      <w:r>
        <w:rPr>
          <w:rFonts w:ascii="Times New Roman" w:eastAsia="Times New Roman" w:hAnsi="Times New Roman" w:cs="Times New Roman"/>
          <w:sz w:val="24"/>
          <w:szCs w:val="24"/>
        </w:rPr>
        <w:t xml:space="preserve">e ce dernier ; que faisant grief à M. X... d’avoir constitué une société d’édition dénommée Hugo et </w:t>
      </w:r>
      <w:proofErr w:type="spellStart"/>
      <w:r>
        <w:rPr>
          <w:rFonts w:ascii="Times New Roman" w:eastAsia="Times New Roman" w:hAnsi="Times New Roman" w:cs="Times New Roman"/>
          <w:sz w:val="24"/>
          <w:szCs w:val="24"/>
        </w:rPr>
        <w:t>cie</w:t>
      </w:r>
      <w:proofErr w:type="spellEnd"/>
      <w:r>
        <w:rPr>
          <w:rFonts w:ascii="Times New Roman" w:eastAsia="Times New Roman" w:hAnsi="Times New Roman" w:cs="Times New Roman"/>
          <w:sz w:val="24"/>
          <w:szCs w:val="24"/>
        </w:rPr>
        <w:t xml:space="preserve"> et d’avoir fait annoncer la parution à venir de nombreux ouvrages écrits par des auteurs qui avaient </w:t>
      </w:r>
      <w:proofErr w:type="spellStart"/>
      <w:r>
        <w:rPr>
          <w:rFonts w:ascii="Times New Roman" w:eastAsia="Times New Roman" w:hAnsi="Times New Roman" w:cs="Times New Roman"/>
          <w:sz w:val="24"/>
          <w:szCs w:val="24"/>
        </w:rPr>
        <w:t>déja</w:t>
      </w:r>
      <w:proofErr w:type="spellEnd"/>
      <w:r>
        <w:rPr>
          <w:rFonts w:ascii="Times New Roman" w:eastAsia="Times New Roman" w:hAnsi="Times New Roman" w:cs="Times New Roman"/>
          <w:sz w:val="24"/>
          <w:szCs w:val="24"/>
        </w:rPr>
        <w:t xml:space="preserve"> été publiés chez Mango, les sociétés Média par</w:t>
      </w:r>
      <w:r>
        <w:rPr>
          <w:rFonts w:ascii="Times New Roman" w:eastAsia="Times New Roman" w:hAnsi="Times New Roman" w:cs="Times New Roman"/>
          <w:sz w:val="24"/>
          <w:szCs w:val="24"/>
        </w:rPr>
        <w:t xml:space="preserve">ticipations Paris, Mango et groupe Fleurus l’ont assigné avec la société Hugo pour violation de son engagement de non-concurrence et pour concurrence déloyale ; </w:t>
      </w:r>
    </w:p>
    <w:p w14:paraId="6515F12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5D1708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premier moyen, le deuxième moyen, pris en sa première branche, le troisième moyen, p</w:t>
      </w:r>
      <w:r>
        <w:rPr>
          <w:rFonts w:ascii="Times New Roman" w:eastAsia="Times New Roman" w:hAnsi="Times New Roman" w:cs="Times New Roman"/>
          <w:sz w:val="24"/>
          <w:szCs w:val="24"/>
        </w:rPr>
        <w:t xml:space="preserve">ris en ses deux premières branches et le quatrième moyen : </w:t>
      </w:r>
    </w:p>
    <w:p w14:paraId="1ED70BE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F0E92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ces moyens ne seraient pas de nature à permettre l’admission du pourvoi ; </w:t>
      </w:r>
    </w:p>
    <w:p w14:paraId="472E1CA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F0EA43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troisième moyen, pris en sa troisième branche : </w:t>
      </w:r>
    </w:p>
    <w:p w14:paraId="7FBF830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111F58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les sociétés Média participations P</w:t>
      </w:r>
      <w:r>
        <w:rPr>
          <w:rFonts w:ascii="Times New Roman" w:eastAsia="Times New Roman" w:hAnsi="Times New Roman" w:cs="Times New Roman"/>
          <w:sz w:val="24"/>
          <w:szCs w:val="24"/>
        </w:rPr>
        <w:t xml:space="preserve">aris, Mango et groupe Fleurus font grief à l’arrêt d’avoir rejeté leur demande tendant à voir condamner la société Hugo et </w:t>
      </w:r>
      <w:proofErr w:type="spellStart"/>
      <w:r>
        <w:rPr>
          <w:rFonts w:ascii="Times New Roman" w:eastAsia="Times New Roman" w:hAnsi="Times New Roman" w:cs="Times New Roman"/>
          <w:sz w:val="24"/>
          <w:szCs w:val="24"/>
        </w:rPr>
        <w:t>cie</w:t>
      </w:r>
      <w:proofErr w:type="spellEnd"/>
      <w:r>
        <w:rPr>
          <w:rFonts w:ascii="Times New Roman" w:eastAsia="Times New Roman" w:hAnsi="Times New Roman" w:cs="Times New Roman"/>
          <w:sz w:val="24"/>
          <w:szCs w:val="24"/>
        </w:rPr>
        <w:t xml:space="preserve"> pour concurrence déloyale ; </w:t>
      </w:r>
    </w:p>
    <w:p w14:paraId="590574E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1622CD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l’arrêt, en dépit de la formule générale du dispositif qui rejette leurs demandes</w:t>
      </w:r>
      <w:r>
        <w:rPr>
          <w:rFonts w:ascii="Times New Roman" w:eastAsia="Times New Roman" w:hAnsi="Times New Roman" w:cs="Times New Roman"/>
          <w:sz w:val="24"/>
          <w:szCs w:val="24"/>
        </w:rPr>
        <w:t xml:space="preserve"> tant au titre de la violation de l’engagement de non-concurrence que pour la concurrence déloyale, n’a pas statué sur le chef de demande relatif au parasitisme de la société Hugo, dès lors qu’il ne résulte pas des motifs de l’arrêt que la cour d’appel l’a</w:t>
      </w:r>
      <w:r>
        <w:rPr>
          <w:rFonts w:ascii="Times New Roman" w:eastAsia="Times New Roman" w:hAnsi="Times New Roman" w:cs="Times New Roman"/>
          <w:sz w:val="24"/>
          <w:szCs w:val="24"/>
        </w:rPr>
        <w:t xml:space="preserve">it examiné ; que l’omission de statuer pouvant être réparée par la procédure prévue à l’article 463 du code de procédure civile, le moyen n’est pas recevable ; </w:t>
      </w:r>
    </w:p>
    <w:p w14:paraId="6E5FF28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1E8E40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sur le deuxième moyen, pris en sa deuxième branche : </w:t>
      </w:r>
    </w:p>
    <w:p w14:paraId="0E802A6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E64BE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 l’article 1626 du code civil </w:t>
      </w:r>
      <w:r>
        <w:rPr>
          <w:rFonts w:ascii="Times New Roman" w:eastAsia="Times New Roman" w:hAnsi="Times New Roman" w:cs="Times New Roman"/>
          <w:sz w:val="24"/>
          <w:szCs w:val="24"/>
        </w:rPr>
        <w:t xml:space="preserve">; </w:t>
      </w:r>
    </w:p>
    <w:p w14:paraId="4EFB1BD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267B3B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pour rejeter l’action engagée par les sociétés Média participations Paris, Mango et groupe Fleurus sur le fondement d’une violation de la garantie légale d’éviction, l’arrêt retient que, par l’offre de versement de l’indemnité contractuellement</w:t>
      </w:r>
      <w:r>
        <w:rPr>
          <w:rFonts w:ascii="Times New Roman" w:eastAsia="Times New Roman" w:hAnsi="Times New Roman" w:cs="Times New Roman"/>
          <w:sz w:val="24"/>
          <w:szCs w:val="24"/>
        </w:rPr>
        <w:t xml:space="preserve"> prévue, M. X... s’est dégagé de son obligation de non-concurrence et qu’il est ainsi devenu contractuellement autorisé à exercer les anciennes activités de la société cédée puisqu’en consentant la possibilité de rachat de l’engagement de non concurrence, </w:t>
      </w:r>
      <w:r>
        <w:rPr>
          <w:rFonts w:ascii="Times New Roman" w:eastAsia="Times New Roman" w:hAnsi="Times New Roman" w:cs="Times New Roman"/>
          <w:sz w:val="24"/>
          <w:szCs w:val="24"/>
        </w:rPr>
        <w:t xml:space="preserve">le cessionnaire des actions a implicitement mais nécessairement renoncé à ladite garantie ; </w:t>
      </w:r>
    </w:p>
    <w:p w14:paraId="2F6543B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AE2FEE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qu’en statuant ainsi, alors qu’après l’expiration de la clause de non-concurrence, le </w:t>
      </w:r>
      <w:r>
        <w:rPr>
          <w:rFonts w:ascii="Times New Roman" w:eastAsia="Times New Roman" w:hAnsi="Times New Roman" w:cs="Times New Roman"/>
          <w:sz w:val="24"/>
          <w:szCs w:val="24"/>
        </w:rPr>
        <w:lastRenderedPageBreak/>
        <w:t>cessionnaire des actions de la société Mango demeurait fondé à se p</w:t>
      </w:r>
      <w:r>
        <w:rPr>
          <w:rFonts w:ascii="Times New Roman" w:eastAsia="Times New Roman" w:hAnsi="Times New Roman" w:cs="Times New Roman"/>
          <w:sz w:val="24"/>
          <w:szCs w:val="24"/>
        </w:rPr>
        <w:t xml:space="preserve">révaloir de la garantie légale d’éviction, qui interdisait au cédant tout agissement ayant pour effet de l’empêcher de poursuivre l’activité économique de la société et de réaliser l’objet social, la cour d’appel a violé le texte susvisé ; </w:t>
      </w:r>
    </w:p>
    <w:p w14:paraId="515A75D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6682F6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CES MOTIFS, et sans qu’il y ait lieu de statuer sur les autres griefs : </w:t>
      </w:r>
    </w:p>
    <w:p w14:paraId="35EF118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F81429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CASSE ET ANNULE, mais seulement en ce qu’il a rejeté les demandes des sociétés Média participations Paris, Mango et Groupe Fleurus relatives à la garantie légale d’éviction, l’a</w:t>
      </w:r>
      <w:r>
        <w:rPr>
          <w:rFonts w:ascii="Times New Roman" w:eastAsia="Times New Roman" w:hAnsi="Times New Roman" w:cs="Times New Roman"/>
          <w:sz w:val="24"/>
          <w:szCs w:val="24"/>
        </w:rPr>
        <w:t>rrêt rendu le 18 septembre 2008, entre les parties, par la cour d’appel de Paris ; remet, en conséquence, sur ce point, la cause et les parties dans l’état où elles se trouvaient avant ledit arrêt et, pour être fait droit, les renvoie devant la cour d’appe</w:t>
      </w:r>
      <w:r>
        <w:rPr>
          <w:rFonts w:ascii="Times New Roman" w:eastAsia="Times New Roman" w:hAnsi="Times New Roman" w:cs="Times New Roman"/>
          <w:sz w:val="24"/>
          <w:szCs w:val="24"/>
        </w:rPr>
        <w:t xml:space="preserve">l de Paris, autrement composée ; </w:t>
      </w:r>
    </w:p>
    <w:p w14:paraId="0CE451B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1F3EBC" w14:textId="77777777" w:rsidR="0080796B" w:rsidRDefault="00EE6E72">
      <w:pPr>
        <w:spacing w:after="0" w:line="240" w:lineRule="auto"/>
        <w:rPr>
          <w:rFonts w:ascii="Times New Roman" w:eastAsia="Times New Roman" w:hAnsi="Times New Roman" w:cs="Times New Roman"/>
          <w:sz w:val="24"/>
          <w:szCs w:val="24"/>
        </w:rPr>
      </w:pPr>
      <w:r>
        <w:br w:type="page"/>
      </w:r>
    </w:p>
    <w:p w14:paraId="7FB66BB0" w14:textId="77777777" w:rsidR="0080796B" w:rsidRDefault="0080796B">
      <w:pPr>
        <w:rPr>
          <w:rFonts w:ascii="Times New Roman" w:eastAsia="Times New Roman" w:hAnsi="Times New Roman" w:cs="Times New Roman"/>
          <w:sz w:val="24"/>
          <w:szCs w:val="24"/>
        </w:rPr>
      </w:pPr>
    </w:p>
    <w:p w14:paraId="144E4463" w14:textId="77777777" w:rsidR="0080796B" w:rsidRDefault="00EE6E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 7 : Com., 21 janvier 1997</w:t>
      </w:r>
    </w:p>
    <w:p w14:paraId="19A250C6" w14:textId="77777777" w:rsidR="0080796B" w:rsidRDefault="0080796B">
      <w:pPr>
        <w:widowControl w:val="0"/>
        <w:spacing w:after="0" w:line="240" w:lineRule="auto"/>
        <w:rPr>
          <w:rFonts w:ascii="Times New Roman" w:eastAsia="Times New Roman" w:hAnsi="Times New Roman" w:cs="Times New Roman"/>
          <w:sz w:val="24"/>
          <w:szCs w:val="24"/>
        </w:rPr>
      </w:pPr>
    </w:p>
    <w:p w14:paraId="0301885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selon l’arrêt attaqué (Paris, 8 mars 1994), que MM. Gilbert, Marc, Michel et Yves X... (les consorts X...) ont cédé à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la totalité des droits socia</w:t>
      </w:r>
      <w:r>
        <w:rPr>
          <w:rFonts w:ascii="Times New Roman" w:eastAsia="Times New Roman" w:hAnsi="Times New Roman" w:cs="Times New Roman"/>
          <w:sz w:val="24"/>
          <w:szCs w:val="24"/>
        </w:rPr>
        <w:t>ux qu’ils détenaient, assurant le contrôle des sociétés du groupe X... constituées pour la production, la négociation et la commercialisation d’aromates et épices ; qu’ils ont ensuite créé une société dénommée Gyma international qui a repris une activité d</w:t>
      </w:r>
      <w:r>
        <w:rPr>
          <w:rFonts w:ascii="Times New Roman" w:eastAsia="Times New Roman" w:hAnsi="Times New Roman" w:cs="Times New Roman"/>
          <w:sz w:val="24"/>
          <w:szCs w:val="24"/>
        </w:rPr>
        <w:t xml:space="preserve">e fabrication et de commercialisation d’herbes aromatiques surgelées ; qu’estimant que par ce rétablissement les consorts X... avaient violé la garantie d’éviction à laquelle ils étaient tenus en leur qualité de vendeur des droits cédés, la société </w:t>
      </w:r>
      <w:proofErr w:type="spellStart"/>
      <w:r>
        <w:rPr>
          <w:rFonts w:ascii="Times New Roman" w:eastAsia="Times New Roman" w:hAnsi="Times New Roman" w:cs="Times New Roman"/>
          <w:sz w:val="24"/>
          <w:szCs w:val="24"/>
        </w:rPr>
        <w:t>Eridani</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Beghin-Say les a assignés aux fins d’interdiction d’une telle activité et, subsidiairement, en restitution d’une partie du prix de cession des titres ;</w:t>
      </w:r>
    </w:p>
    <w:p w14:paraId="6CD8EF63"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9648B1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les trois moyens réunis :</w:t>
      </w:r>
    </w:p>
    <w:p w14:paraId="013A133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C0098A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fait grief à l’arrêt d’av</w:t>
      </w:r>
      <w:r>
        <w:rPr>
          <w:rFonts w:ascii="Times New Roman" w:eastAsia="Times New Roman" w:hAnsi="Times New Roman" w:cs="Times New Roman"/>
          <w:sz w:val="24"/>
          <w:szCs w:val="24"/>
        </w:rPr>
        <w:t>oir rejeté sa demande, alors, selon le pourvoi, d’une part, que l’absence de clause de non-concurrence dans l’acte de cession ne libère pas le vendeur de l’obligation légale de garantie de son fait personnel qui est d’ordre public et lui interdit tout acte</w:t>
      </w:r>
      <w:r>
        <w:rPr>
          <w:rFonts w:ascii="Times New Roman" w:eastAsia="Times New Roman" w:hAnsi="Times New Roman" w:cs="Times New Roman"/>
          <w:sz w:val="24"/>
          <w:szCs w:val="24"/>
        </w:rPr>
        <w:t xml:space="preserve"> susceptible de gêner l’acquéreur dans la possession paisible de la chose vendue ; que cette garantie légale d’éviction due par le vendeur justifie de sa part une obligation de non-concurrence qui est de droit ; qu’en estimant licite le rétablissement de M</w:t>
      </w:r>
      <w:r>
        <w:rPr>
          <w:rFonts w:ascii="Times New Roman" w:eastAsia="Times New Roman" w:hAnsi="Times New Roman" w:cs="Times New Roman"/>
          <w:sz w:val="24"/>
          <w:szCs w:val="24"/>
        </w:rPr>
        <w:t>M. X... dans une activité concurrentielle de celle qu’ils venaient de céder, la cour d’appel a violé les articles 1625, 1626 et 1628 du Code civil ; alors, d’autre part, que les vendeurs doivent garantir à l’acquéreur la possession paisible de la chose ven</w:t>
      </w:r>
      <w:r>
        <w:rPr>
          <w:rFonts w:ascii="Times New Roman" w:eastAsia="Times New Roman" w:hAnsi="Times New Roman" w:cs="Times New Roman"/>
          <w:sz w:val="24"/>
          <w:szCs w:val="24"/>
        </w:rPr>
        <w:t>due, alors même qu’ils ne chercheraient pas à récupérer les biens qu’ils viennent de céder ; qu’en décidant que les actes reprochés aux consorts X... n’étaient pas suffisamment caractérisés pour constituer des tentatives de reprise de la chose vendue, la c</w:t>
      </w:r>
      <w:r>
        <w:rPr>
          <w:rFonts w:ascii="Times New Roman" w:eastAsia="Times New Roman" w:hAnsi="Times New Roman" w:cs="Times New Roman"/>
          <w:sz w:val="24"/>
          <w:szCs w:val="24"/>
        </w:rPr>
        <w:t xml:space="preserve">our d’appel qui a exigé de la part de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la preuve d’actes plus graves qu’il n’était nécessaire, a violé les articles 1625 et 1626 du Code Civil ; alors, en outre, que dans ses conclusions,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insista</w:t>
      </w:r>
      <w:r>
        <w:rPr>
          <w:rFonts w:ascii="Times New Roman" w:eastAsia="Times New Roman" w:hAnsi="Times New Roman" w:cs="Times New Roman"/>
          <w:sz w:val="24"/>
          <w:szCs w:val="24"/>
        </w:rPr>
        <w:t xml:space="preserve">it sur ce que l’article 1628 du Code civil institue une garantie d’éviction d’ordre public ; que l’article 1629 du même Code n’envisage de possibilité d’exemption de cette garantie d’éviction que pour des cas autres que ceux d’éviction du fait personnel ; </w:t>
      </w:r>
      <w:r>
        <w:rPr>
          <w:rFonts w:ascii="Times New Roman" w:eastAsia="Times New Roman" w:hAnsi="Times New Roman" w:cs="Times New Roman"/>
          <w:sz w:val="24"/>
          <w:szCs w:val="24"/>
        </w:rPr>
        <w:t xml:space="preserve">qu’il n’était pas admissible d’appliquer de façon conjuguée les articles 1628 et 1629 du Code civil pour permettre aux consorts X... de s’exonérer de la garantie d’ordre public qu’ils devaient à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 que la cour d’appel n’a pas </w:t>
      </w:r>
      <w:r>
        <w:rPr>
          <w:rFonts w:ascii="Times New Roman" w:eastAsia="Times New Roman" w:hAnsi="Times New Roman" w:cs="Times New Roman"/>
          <w:sz w:val="24"/>
          <w:szCs w:val="24"/>
        </w:rPr>
        <w:t xml:space="preserve">répondu à ces moyens déterminants développés tant dans la requête afin d’être autorisée à plaider à jour fixe que dans les conclusions en réponse ; qu’elle n’a pas satisfait aux exigences de l’article 455 du nouveau Code de procédure civile et qu’elle n’a </w:t>
      </w:r>
      <w:r>
        <w:rPr>
          <w:rFonts w:ascii="Times New Roman" w:eastAsia="Times New Roman" w:hAnsi="Times New Roman" w:cs="Times New Roman"/>
          <w:sz w:val="24"/>
          <w:szCs w:val="24"/>
        </w:rPr>
        <w:t>pas donné de base légale à sa décision vis-à-vis des mêmes articles 1628 et 1629 du Code civil ; alors au surplus, que l’application de la garantie légale d’éviction ne peut être écartée que si dans le contrat de vente ou dans une convention annexe, le ven</w:t>
      </w:r>
      <w:r>
        <w:rPr>
          <w:rFonts w:ascii="Times New Roman" w:eastAsia="Times New Roman" w:hAnsi="Times New Roman" w:cs="Times New Roman"/>
          <w:sz w:val="24"/>
          <w:szCs w:val="24"/>
        </w:rPr>
        <w:t>deur a expressément informé l’acquéreur du risque d’éviction, et que ce dernier en a nettement accepté les conséquences ; qu’aucune clause expresse de non-garantie ne figure dans l’acte de cession ; qu’en déduisant une acceptation expresse du risque d’évic</w:t>
      </w:r>
      <w:r>
        <w:rPr>
          <w:rFonts w:ascii="Times New Roman" w:eastAsia="Times New Roman" w:hAnsi="Times New Roman" w:cs="Times New Roman"/>
          <w:sz w:val="24"/>
          <w:szCs w:val="24"/>
        </w:rPr>
        <w:t>tion des négociations et de l’absence de clause de non-concurrence, la cour d’appel n’a pas justifié sa décision vis-à-vis de l’article 1629 du Code civil ; qu’elle n’a pas davantage répondu aux conclusions qui développaient ce moyen déterminant et n’a pas</w:t>
      </w:r>
      <w:r>
        <w:rPr>
          <w:rFonts w:ascii="Times New Roman" w:eastAsia="Times New Roman" w:hAnsi="Times New Roman" w:cs="Times New Roman"/>
          <w:sz w:val="24"/>
          <w:szCs w:val="24"/>
        </w:rPr>
        <w:t xml:space="preserve"> satisfait aux prescriptions de l’article 455 du nouveau Code de procédure civile ; alors, encore, que dans les mêmes écritures, </w:t>
      </w:r>
      <w:r>
        <w:rPr>
          <w:rFonts w:ascii="Times New Roman" w:eastAsia="Times New Roman" w:hAnsi="Times New Roman" w:cs="Times New Roman"/>
          <w:sz w:val="24"/>
          <w:szCs w:val="24"/>
        </w:rPr>
        <w:lastRenderedPageBreak/>
        <w:t xml:space="preserve">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montrait que durant les négociations, les consorts X... manifestaient leur intention de ne pas s</w:t>
      </w:r>
      <w:r>
        <w:rPr>
          <w:rFonts w:ascii="Times New Roman" w:eastAsia="Times New Roman" w:hAnsi="Times New Roman" w:cs="Times New Roman"/>
          <w:sz w:val="24"/>
          <w:szCs w:val="24"/>
        </w:rPr>
        <w:t xml:space="preserve">e réinstaller ; qu’elle soulignait leur comportement fautif excluant pour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l’entière connaissance du risque ; qu’en effet, pour la Cour suprême, la connaissance du risque d’éviction par l’acquéreur ne peut exister et permettre</w:t>
      </w:r>
      <w:r>
        <w:rPr>
          <w:rFonts w:ascii="Times New Roman" w:eastAsia="Times New Roman" w:hAnsi="Times New Roman" w:cs="Times New Roman"/>
          <w:sz w:val="24"/>
          <w:szCs w:val="24"/>
        </w:rPr>
        <w:t xml:space="preserve"> l’exemption de garantie pour le vendeur que lorsque celui-ci, par une clause du contrat aura pleinement renseigné son acheteur sur des circonstances particulières antérieures à la vente et susceptibles de l’évincer ; qu’en l’espèce l’absence d’une clause </w:t>
      </w:r>
      <w:r>
        <w:rPr>
          <w:rFonts w:ascii="Times New Roman" w:eastAsia="Times New Roman" w:hAnsi="Times New Roman" w:cs="Times New Roman"/>
          <w:sz w:val="24"/>
          <w:szCs w:val="24"/>
        </w:rPr>
        <w:t>de non-concurrence ne pouvait dès lors suffire à caractériser la connaissance du risque de l’éviction du fait personnel du vendeur ; que la cour d’appel n’a pas donné de base légale à sa décision vis-à-vis des mêmes articles 1628 et 1629 du Code civil ; qu</w:t>
      </w:r>
      <w:r>
        <w:rPr>
          <w:rFonts w:ascii="Times New Roman" w:eastAsia="Times New Roman" w:hAnsi="Times New Roman" w:cs="Times New Roman"/>
          <w:sz w:val="24"/>
          <w:szCs w:val="24"/>
        </w:rPr>
        <w:t xml:space="preserve">’elle n’a pas non plus répondu aux conclusions de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et respecté les exigences de l’article 455 du nouveau Code de procédure civile et alors, enfin, que les contrats doivent s’exécuter de bonne foi ; que les consorts X... ont mi</w:t>
      </w:r>
      <w:r>
        <w:rPr>
          <w:rFonts w:ascii="Times New Roman" w:eastAsia="Times New Roman" w:hAnsi="Times New Roman" w:cs="Times New Roman"/>
          <w:sz w:val="24"/>
          <w:szCs w:val="24"/>
        </w:rPr>
        <w:t xml:space="preserve">s en place immédiatement après la signature du contrat un dispositif de concurrence totale avec des produits complètement rivaux ; qu’ils ont manqué à leur devoir de loyauté ; qu’en ne s’expliquant pas sur ces manquements, la cour d’appel n’a pas fondé sa </w:t>
      </w:r>
      <w:r>
        <w:rPr>
          <w:rFonts w:ascii="Times New Roman" w:eastAsia="Times New Roman" w:hAnsi="Times New Roman" w:cs="Times New Roman"/>
          <w:sz w:val="24"/>
          <w:szCs w:val="24"/>
        </w:rPr>
        <w:t xml:space="preserve">décision vis-à-vis de l’article 1134 du Code civil ; qu’elle s’est abstenue de nouveau de répondre aux conclusions de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violant l’article 455 du nouveau Code de procédure civile ;</w:t>
      </w:r>
    </w:p>
    <w:p w14:paraId="2DECE67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451E6C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en premier lieu, que la garant</w:t>
      </w:r>
      <w:r>
        <w:rPr>
          <w:rFonts w:ascii="Times New Roman" w:eastAsia="Times New Roman" w:hAnsi="Times New Roman" w:cs="Times New Roman"/>
          <w:sz w:val="24"/>
          <w:szCs w:val="24"/>
        </w:rPr>
        <w:t>ie légale d’éviction du fait personnel du vendeur n’entraîne pour celui-ci, s’agissant de la cession des actions d’une société, l’interdiction de se rétablir, que si ce rétablissement est de nature à empêcher les acquéreurs de ces actions de poursuivre l’a</w:t>
      </w:r>
      <w:r>
        <w:rPr>
          <w:rFonts w:ascii="Times New Roman" w:eastAsia="Times New Roman" w:hAnsi="Times New Roman" w:cs="Times New Roman"/>
          <w:sz w:val="24"/>
          <w:szCs w:val="24"/>
        </w:rPr>
        <w:t xml:space="preserve">ctivité économique de la société et de réaliser l’objet social ; que l’arrêt ayant retenu, par des motifs non critiqués par le pourvoi, que dès lors qu’ils n’avaient pas eu pour conséquence d’aboutir à un détournement de la clientèle attachée aux produits </w:t>
      </w:r>
      <w:r>
        <w:rPr>
          <w:rFonts w:ascii="Times New Roman" w:eastAsia="Times New Roman" w:hAnsi="Times New Roman" w:cs="Times New Roman"/>
          <w:sz w:val="24"/>
          <w:szCs w:val="24"/>
        </w:rPr>
        <w:t>fabriqués et vendus par les sociétés du groupe X..., les actes reprochés aux consorts X... ne constituaient pas des tentatives de reprise par une voie détournée de la chose vendue, la cour d’appel, qui n’a ni énoncé que l’absence de clause de non-concurren</w:t>
      </w:r>
      <w:r>
        <w:rPr>
          <w:rFonts w:ascii="Times New Roman" w:eastAsia="Times New Roman" w:hAnsi="Times New Roman" w:cs="Times New Roman"/>
          <w:sz w:val="24"/>
          <w:szCs w:val="24"/>
        </w:rPr>
        <w:t>ce libérait le vendeur de l’obligation légale de garantie ou suffisait à caractériser la connaissance du risque par l’acquéreur ni exonéré les consorts X... de ladite obligation, a pu statuer comme elle l’a fait ;</w:t>
      </w:r>
    </w:p>
    <w:p w14:paraId="050FB22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317D0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en second lieu, qu’ayant relevé</w:t>
      </w:r>
      <w:r>
        <w:rPr>
          <w:rFonts w:ascii="Times New Roman" w:eastAsia="Times New Roman" w:hAnsi="Times New Roman" w:cs="Times New Roman"/>
          <w:sz w:val="24"/>
          <w:szCs w:val="24"/>
        </w:rPr>
        <w:t xml:space="preserve"> qu’aucune préméditation ne pouvait être retenue de la part des consorts X... et que ce n’était pas par une dissimulation malicieuse lors des négociations, par une voie détournée ni même discrète mais à la connaissance de l’acquéreur qu’ils avaient constit</w:t>
      </w:r>
      <w:r>
        <w:rPr>
          <w:rFonts w:ascii="Times New Roman" w:eastAsia="Times New Roman" w:hAnsi="Times New Roman" w:cs="Times New Roman"/>
          <w:sz w:val="24"/>
          <w:szCs w:val="24"/>
        </w:rPr>
        <w:t xml:space="preserve">ué les structures juridiques, passé les accords commerciaux et édifié les unités de production portant, d’abord, sur des produits négligés par la société </w:t>
      </w:r>
      <w:proofErr w:type="spellStart"/>
      <w:r>
        <w:rPr>
          <w:rFonts w:ascii="Times New Roman" w:eastAsia="Times New Roman" w:hAnsi="Times New Roman" w:cs="Times New Roman"/>
          <w:sz w:val="24"/>
          <w:szCs w:val="24"/>
        </w:rPr>
        <w:t>Eridania</w:t>
      </w:r>
      <w:proofErr w:type="spellEnd"/>
      <w:r>
        <w:rPr>
          <w:rFonts w:ascii="Times New Roman" w:eastAsia="Times New Roman" w:hAnsi="Times New Roman" w:cs="Times New Roman"/>
          <w:sz w:val="24"/>
          <w:szCs w:val="24"/>
        </w:rPr>
        <w:t xml:space="preserve"> Beghin-Say puis, sur l’ensemble de la gamme, la cour d’appel, répondant aux conclusions préte</w:t>
      </w:r>
      <w:r>
        <w:rPr>
          <w:rFonts w:ascii="Times New Roman" w:eastAsia="Times New Roman" w:hAnsi="Times New Roman" w:cs="Times New Roman"/>
          <w:sz w:val="24"/>
          <w:szCs w:val="24"/>
        </w:rPr>
        <w:t>ndument délaissées, a justifié sa décision au regard des dispositions de l’article 1134 du Code civil ;</w:t>
      </w:r>
    </w:p>
    <w:p w14:paraId="73960B4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E3B49D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D’où il suit que les moyens ne peuvent être accueillis en aucune de leurs branches ;</w:t>
      </w:r>
    </w:p>
    <w:p w14:paraId="238C3C4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5F1701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w:t>
      </w:r>
    </w:p>
    <w:p w14:paraId="2A653B2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89C28F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REJETTE le pourvoi.</w:t>
      </w:r>
    </w:p>
    <w:p w14:paraId="69DCF3C8" w14:textId="77777777" w:rsidR="0080796B" w:rsidRDefault="0080796B">
      <w:pPr>
        <w:rPr>
          <w:rFonts w:ascii="Times New Roman" w:eastAsia="Times New Roman" w:hAnsi="Times New Roman" w:cs="Times New Roman"/>
          <w:sz w:val="24"/>
          <w:szCs w:val="24"/>
        </w:rPr>
      </w:pPr>
    </w:p>
    <w:p w14:paraId="5C812E40" w14:textId="77777777" w:rsidR="0080796B" w:rsidRDefault="00EE6E72">
      <w:pPr>
        <w:spacing w:after="0" w:line="240" w:lineRule="auto"/>
        <w:rPr>
          <w:rFonts w:ascii="Times New Roman" w:eastAsia="Times New Roman" w:hAnsi="Times New Roman" w:cs="Times New Roman"/>
          <w:sz w:val="24"/>
          <w:szCs w:val="24"/>
        </w:rPr>
      </w:pPr>
      <w:r>
        <w:br w:type="page"/>
      </w:r>
    </w:p>
    <w:p w14:paraId="62D82AFC" w14:textId="77777777" w:rsidR="0080796B" w:rsidRDefault="00EE6E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Doc 8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1, 18 janvier 1978</w:t>
      </w:r>
    </w:p>
    <w:p w14:paraId="19F5E84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PREMIER MOYEN, PRIS EN SES DEUX BRANCHES : ATTENDU QUE, SELON L’ARRET PARTIELLEMENT INFIRMATIF ATTAQUE, PAR ACTE DE RESNAIS, NOTAIRE, EN DATE DU 17 SEPTEMBRE 1968, DEMOISELLE C... A VENDU AUX EPOUX A... TRENTE-QUATRE </w:t>
      </w:r>
      <w:r>
        <w:rPr>
          <w:rFonts w:ascii="Times New Roman" w:eastAsia="Times New Roman" w:hAnsi="Times New Roman" w:cs="Times New Roman"/>
          <w:sz w:val="24"/>
          <w:szCs w:val="24"/>
        </w:rPr>
        <w:t>PARCELLES DE TERRE DONT L’UNE, D’UNE SUPERFICIE DE NEUF ARES VINGT-CINQ, ETAIT CADASTREE SOUS LE N° 1044 C ;</w:t>
      </w:r>
    </w:p>
    <w:p w14:paraId="09DDBB4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A65419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PAR ACTE DU MEME NOTAIRE, EN DATE DES 2 ET 7 AVRIL 1970, LES EPOUX A... ONT REVENDU LADITE PARCELLE AUX EPOUX </w:t>
      </w:r>
      <w:proofErr w:type="gramStart"/>
      <w:r>
        <w:rPr>
          <w:rFonts w:ascii="Times New Roman" w:eastAsia="Times New Roman" w:hAnsi="Times New Roman" w:cs="Times New Roman"/>
          <w:sz w:val="24"/>
          <w:szCs w:val="24"/>
        </w:rPr>
        <w:t>Z...</w:t>
      </w:r>
      <w:proofErr w:type="gramEnd"/>
      <w:r>
        <w:rPr>
          <w:rFonts w:ascii="Times New Roman" w:eastAsia="Times New Roman" w:hAnsi="Times New Roman" w:cs="Times New Roman"/>
          <w:sz w:val="24"/>
          <w:szCs w:val="24"/>
        </w:rPr>
        <w:t xml:space="preserve"> ;</w:t>
      </w:r>
    </w:p>
    <w:p w14:paraId="399238A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994A06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LE 16 MARS 1973, </w:t>
      </w:r>
      <w:r>
        <w:rPr>
          <w:rFonts w:ascii="Times New Roman" w:eastAsia="Times New Roman" w:hAnsi="Times New Roman" w:cs="Times New Roman"/>
          <w:sz w:val="24"/>
          <w:szCs w:val="24"/>
        </w:rPr>
        <w:t xml:space="preserve">LES CONSORTS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SE PRETENDANT PROPRIETAIRES DE CETTE PARCELLE, ONT ASSIGNE LES EPOUX Z..., QUI ONT APPELE EN GARANTIE LEURS VENDEURS, LES EPOUX A..., QUI EUX-MEMES ONT APPELE EN GARANTIE DEMOISELLE D..., LAQUELLE A APPELE EN CAUSE RESNAIS ;</w:t>
      </w:r>
    </w:p>
    <w:p w14:paraId="15DB918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6A9B4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LA COU</w:t>
      </w:r>
      <w:r>
        <w:rPr>
          <w:rFonts w:ascii="Times New Roman" w:eastAsia="Times New Roman" w:hAnsi="Times New Roman" w:cs="Times New Roman"/>
          <w:sz w:val="24"/>
          <w:szCs w:val="24"/>
        </w:rPr>
        <w:t xml:space="preserve">R D’APPEL, APRES AVOIR CONSTATE QUE LA PARCELLE LITIGIEUSE ETAIT BIEN LA PROPRIETE DES CONSORTS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POUR LEUR AVOIR ETE VENDUE EN 1926 PAR LES CONSORTS C..., PARMI LESQUELS DEMOISELLE C..., A CONDAMNE LES EPOUX Z... A RESTITUER LE BIEN AUX CONSORTS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DECLARE LES EPOUX A... TENUS A GARANTIR LES EPOUX </w:t>
      </w:r>
      <w:proofErr w:type="gramStart"/>
      <w:r>
        <w:rPr>
          <w:rFonts w:ascii="Times New Roman" w:eastAsia="Times New Roman" w:hAnsi="Times New Roman" w:cs="Times New Roman"/>
          <w:sz w:val="24"/>
          <w:szCs w:val="24"/>
        </w:rPr>
        <w:t>Z...</w:t>
      </w:r>
      <w:proofErr w:type="gramEnd"/>
      <w:r>
        <w:rPr>
          <w:rFonts w:ascii="Times New Roman" w:eastAsia="Times New Roman" w:hAnsi="Times New Roman" w:cs="Times New Roman"/>
          <w:sz w:val="24"/>
          <w:szCs w:val="24"/>
        </w:rPr>
        <w:t xml:space="preserve">, Y... LE D... TENUE A GARANTIR LES EPOUX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A RETENU L’ENTIERE RESPONSABILITE DE RESNAIS, L’A CONDAMNE AU PAIEMENT DES SOMMES MISES A LA CHARGE DE DEMOISELLE C... ET, POUR APPRECIER LA PLUS-VALUE</w:t>
      </w:r>
      <w:r>
        <w:rPr>
          <w:rFonts w:ascii="Times New Roman" w:eastAsia="Times New Roman" w:hAnsi="Times New Roman" w:cs="Times New Roman"/>
          <w:sz w:val="24"/>
          <w:szCs w:val="24"/>
        </w:rPr>
        <w:t xml:space="preserve"> DE LA PARCELLE LITIGIEUSE, A DESIGNE UN EXPERT X... MISSION DE L’EVALUER A LA DATE DU JUGEMENT ;</w:t>
      </w:r>
    </w:p>
    <w:p w14:paraId="4BD46F6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FC19BA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QU’IL EST FAIT GRIEF A L’ARRET ATTAQUE D’AVOIR RETENU LA RESPONSABILITE DU NOTAIRE ALORS QUE, D’UNE PART, CELUI-CI AVAIT SOUTENU DANS DES CONCLUSION</w:t>
      </w:r>
      <w:r>
        <w:rPr>
          <w:rFonts w:ascii="Times New Roman" w:eastAsia="Times New Roman" w:hAnsi="Times New Roman" w:cs="Times New Roman"/>
          <w:sz w:val="24"/>
          <w:szCs w:val="24"/>
        </w:rPr>
        <w:t xml:space="preserve">S QUI SERAIENT RESTEES SANS REPONSE QU’IL AVAIT REQUIS NON SEULEMENT UN EXTRAIT DES INSCRIPTIONS HYPOTHECAIRES, MAIS ENCORE UN EXTRAIT DE LA MATRICE CADASTRALE FAISANT RESSORTIR QUE LA PARCELLE LITIGIEUSE FIGURAIT TOUJOURS AU NOM DE DEMOISELLE C..., ALORS </w:t>
      </w:r>
      <w:r>
        <w:rPr>
          <w:rFonts w:ascii="Times New Roman" w:eastAsia="Times New Roman" w:hAnsi="Times New Roman" w:cs="Times New Roman"/>
          <w:sz w:val="24"/>
          <w:szCs w:val="24"/>
        </w:rPr>
        <w:t xml:space="preserve">QUE, D’AUTRE PART, LES MEMES CONCLUSIONS, QUI AURAIENT ETE ENCORE DELAISSEES, FAISAIENT VALOIR QUE L’ACTE AVAIT ETE RECU DANS UN DELAI TRES COURT, SUR LA DEMANDE PRESSANTE DE DEMOISELLE C... ET DES EPOUX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LESQUELS ETAIENT EN RELATIONS DE BAILLEUR A LO</w:t>
      </w:r>
      <w:r>
        <w:rPr>
          <w:rFonts w:ascii="Times New Roman" w:eastAsia="Times New Roman" w:hAnsi="Times New Roman" w:cs="Times New Roman"/>
          <w:sz w:val="24"/>
          <w:szCs w:val="24"/>
        </w:rPr>
        <w:t xml:space="preserve">CATAIRES, CES DERNIERS DECLARANT BIEN CONNAITRE LES PARCELLES POUR LES EXPLOITER PERSONNELLEMENT, D’OU IL SUIT QU’IL APPARTENAIT A LA COUR D’APPEL DE DETERMINER L’ETENDUE DE L’OBLIGATION DE CONSEIL DU NOTAIRE EN FONCTION DES CONDITIONS DANS LESQUELLES SES </w:t>
      </w:r>
      <w:r>
        <w:rPr>
          <w:rFonts w:ascii="Times New Roman" w:eastAsia="Times New Roman" w:hAnsi="Times New Roman" w:cs="Times New Roman"/>
          <w:sz w:val="24"/>
          <w:szCs w:val="24"/>
        </w:rPr>
        <w:t>CLIENTS AVAIENT REQUIS SON CONCOURS ;</w:t>
      </w:r>
    </w:p>
    <w:p w14:paraId="317C3C9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62D432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LA COUR D’APPEL ENONCE A BON DROIT QUE RESNAIS, BIEN QUE N’ETANT PAS LE NEGOCIATEUR DE LA CONVENTION, AVAIT L’OBLIGATION DE S’ASSURER DE LA VALIDITE ET DE L’EFFICACITE DE L’ACTE QU’IL AVAIT A DRESSER, QU’IL DEVAIT CONTROLER LES DECLARATION</w:t>
      </w:r>
      <w:r>
        <w:rPr>
          <w:rFonts w:ascii="Times New Roman" w:eastAsia="Times New Roman" w:hAnsi="Times New Roman" w:cs="Times New Roman"/>
          <w:sz w:val="24"/>
          <w:szCs w:val="24"/>
        </w:rPr>
        <w:t xml:space="preserve">S DES PARTIES, PROCEDER A DES RECHERCHES SUR LA SITUATION DES BIENS, PLUS PARTICULIEREMENT VERIFIER LES ORIGINES DE PROPRIETE DE L’IMMEUBLE </w:t>
      </w:r>
      <w:r>
        <w:rPr>
          <w:rFonts w:ascii="Times New Roman" w:eastAsia="Times New Roman" w:hAnsi="Times New Roman" w:cs="Times New Roman"/>
          <w:sz w:val="24"/>
          <w:szCs w:val="24"/>
        </w:rPr>
        <w:lastRenderedPageBreak/>
        <w:t>VENDU, S’ASSURER DES DROITS DU VENDEUR EN SE REFERANT NOTAMMENT AUX ACTES DE SON ETUDE DONT IL RESSORTAIT QUE LA PAR</w:t>
      </w:r>
      <w:r>
        <w:rPr>
          <w:rFonts w:ascii="Times New Roman" w:eastAsia="Times New Roman" w:hAnsi="Times New Roman" w:cs="Times New Roman"/>
          <w:sz w:val="24"/>
          <w:szCs w:val="24"/>
        </w:rPr>
        <w:t>CELLE LITIGIEUSE AVAIT DEJA ETE VENDUE, ET CONTROLER AU FICHIER IMMOBILIER LES MUTATIONS INTERVENUES ;</w:t>
      </w:r>
    </w:p>
    <w:p w14:paraId="1176D26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67307C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REPONDANT AUX CONCLUSIONS, ELLE A PU ESTIMER QU’EN NEGLIGEANT DE PROCEDER A CES VERIFICATIONS, RESNAIS AVAIT COMMIS UNE FAUTE ENGAGEANT SA RESPONS</w:t>
      </w:r>
      <w:r>
        <w:rPr>
          <w:rFonts w:ascii="Times New Roman" w:eastAsia="Times New Roman" w:hAnsi="Times New Roman" w:cs="Times New Roman"/>
          <w:sz w:val="24"/>
          <w:szCs w:val="24"/>
        </w:rPr>
        <w:t>ABILITE ;</w:t>
      </w:r>
    </w:p>
    <w:p w14:paraId="55FDF38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A7519A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QU’ELLE A AINSI LEGALEMENT JUSTIFIE SA DECISION ET QUE LE MOYEN N’EST FONDE EN AUCUNE DE SES BRANCHES ;</w:t>
      </w:r>
    </w:p>
    <w:p w14:paraId="4966D731"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5A485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SUR LE SECOND MOYEN : VU LES ARTICLES 1626, 1630 ET 1633 DU CODE CIVIL ;</w:t>
      </w:r>
    </w:p>
    <w:p w14:paraId="6797289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CFE39E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QU’IL RESULTE DE CES TEXTES QUE L’ACQUEREUR N’A DE</w:t>
      </w:r>
      <w:r>
        <w:rPr>
          <w:rFonts w:ascii="Times New Roman" w:eastAsia="Times New Roman" w:hAnsi="Times New Roman" w:cs="Times New Roman"/>
          <w:sz w:val="24"/>
          <w:szCs w:val="24"/>
        </w:rPr>
        <w:t xml:space="preserve"> RECOURS EN GARANTIE CONTRE SON VENDEUR QUE JUSQU’A CONCURRENCE DE LA VALEUR DE LA CHOSE AU TEMPS DE L’EVICTION, C’EST-A-DIRE AU JOUR DE LA DEMANDE EN JUSTICE ;</w:t>
      </w:r>
    </w:p>
    <w:p w14:paraId="2FFEFF3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92E88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QU’EN SE PLACANT AU JOUR DU JUGEMENT POUR EVALUER LA PLUS-VALUE RESULTANT DE L’AUGMEN</w:t>
      </w:r>
      <w:r>
        <w:rPr>
          <w:rFonts w:ascii="Times New Roman" w:eastAsia="Times New Roman" w:hAnsi="Times New Roman" w:cs="Times New Roman"/>
          <w:sz w:val="24"/>
          <w:szCs w:val="24"/>
        </w:rPr>
        <w:t>TATION DU PRIX DE L’IMMEUBLE, LA COUR D’APPEL A VIOLE LES TEXTES SUSVISES ;</w:t>
      </w:r>
    </w:p>
    <w:p w14:paraId="72F0732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D7EFB7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 CASSE ET ANNULE, DANS LA LIMITE DU SECOND MOYEN, L’ARRET RENDU ENTRE LES PARTIES LE 28 AVRIL 1976 PAR LA COUR D’APPEL DE RENNES ;</w:t>
      </w:r>
    </w:p>
    <w:p w14:paraId="5B81923E"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D42D1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REMET, EN CONSEQUENCE, QUANT </w:t>
      </w:r>
      <w:r>
        <w:rPr>
          <w:rFonts w:ascii="Times New Roman" w:eastAsia="Times New Roman" w:hAnsi="Times New Roman" w:cs="Times New Roman"/>
          <w:sz w:val="24"/>
          <w:szCs w:val="24"/>
        </w:rPr>
        <w:t>A CE, LA CAUSE ET LES PARTIES AU MEME ET SEMBLABLE ETAT OU ELLES ETAIENT AVANT LEDIT ARRET ;</w:t>
      </w:r>
    </w:p>
    <w:p w14:paraId="2AD299A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C5D94C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POUR ETRE FAIT DROIT, LES RENVOIE DEVANT LA COUR D’APPEL D’ANGERS.</w:t>
      </w:r>
    </w:p>
    <w:p w14:paraId="5D2077F8" w14:textId="77777777" w:rsidR="0080796B" w:rsidRDefault="0080796B">
      <w:pPr>
        <w:rPr>
          <w:rFonts w:ascii="Times New Roman" w:eastAsia="Times New Roman" w:hAnsi="Times New Roman" w:cs="Times New Roman"/>
          <w:sz w:val="24"/>
          <w:szCs w:val="24"/>
        </w:rPr>
      </w:pPr>
    </w:p>
    <w:p w14:paraId="41A7466D" w14:textId="77777777" w:rsidR="0080796B" w:rsidRDefault="00EE6E72">
      <w:pPr>
        <w:spacing w:after="0" w:line="240" w:lineRule="auto"/>
        <w:rPr>
          <w:rFonts w:ascii="Times New Roman" w:eastAsia="Times New Roman" w:hAnsi="Times New Roman" w:cs="Times New Roman"/>
          <w:sz w:val="24"/>
          <w:szCs w:val="24"/>
        </w:rPr>
      </w:pPr>
      <w:r>
        <w:br w:type="page"/>
      </w:r>
    </w:p>
    <w:p w14:paraId="49459B90" w14:textId="77777777" w:rsidR="0080796B" w:rsidRDefault="00EE6E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Doc 9 : </w:t>
      </w:r>
      <w:proofErr w:type="spellStart"/>
      <w:r>
        <w:rPr>
          <w:rFonts w:ascii="Times New Roman" w:eastAsia="Times New Roman" w:hAnsi="Times New Roman" w:cs="Times New Roman"/>
          <w:b/>
          <w:sz w:val="24"/>
          <w:szCs w:val="24"/>
        </w:rPr>
        <w:t>Civ</w:t>
      </w:r>
      <w:proofErr w:type="spellEnd"/>
      <w:r>
        <w:rPr>
          <w:rFonts w:ascii="Times New Roman" w:eastAsia="Times New Roman" w:hAnsi="Times New Roman" w:cs="Times New Roman"/>
          <w:b/>
          <w:sz w:val="24"/>
          <w:szCs w:val="24"/>
        </w:rPr>
        <w:t>. 3, 16 janvier 1991 </w:t>
      </w:r>
    </w:p>
    <w:p w14:paraId="0E6DC699" w14:textId="77777777" w:rsidR="0080796B" w:rsidRDefault="0080796B">
      <w:pPr>
        <w:widowControl w:val="0"/>
        <w:spacing w:after="0" w:line="240" w:lineRule="auto"/>
        <w:jc w:val="both"/>
        <w:rPr>
          <w:rFonts w:ascii="Times New Roman" w:eastAsia="Times New Roman" w:hAnsi="Times New Roman" w:cs="Times New Roman"/>
          <w:sz w:val="24"/>
          <w:szCs w:val="24"/>
        </w:rPr>
      </w:pPr>
    </w:p>
    <w:p w14:paraId="2468828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 n’y avoir lieu à mettre hors de cause MM.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 C..., Z..., E... </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et la SCP C..., D... et Z... ;</w:t>
      </w:r>
    </w:p>
    <w:p w14:paraId="5864F9B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CCDEE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troisième moyen :</w:t>
      </w:r>
    </w:p>
    <w:p w14:paraId="32906D08"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9B3A45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selon l’arrêt attaqué (Paris, 12 janvier 1989), que les consorts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se prétendant propriétaires d’un ter</w:t>
      </w:r>
      <w:r>
        <w:rPr>
          <w:rFonts w:ascii="Times New Roman" w:eastAsia="Times New Roman" w:hAnsi="Times New Roman" w:cs="Times New Roman"/>
          <w:sz w:val="24"/>
          <w:szCs w:val="24"/>
        </w:rPr>
        <w:t>rain vendu le 29 septembre 1978 par les consorts F... aux époux Y... de Oliveira, ont assigné ces derniers en inopposabilité de la vente à leur égard ; que les acquéreurs ont demandé à leurs vendeurs garantie de cette éviction et ont appelé en garantie les</w:t>
      </w:r>
      <w:r>
        <w:rPr>
          <w:rFonts w:ascii="Times New Roman" w:eastAsia="Times New Roman" w:hAnsi="Times New Roman" w:cs="Times New Roman"/>
          <w:sz w:val="24"/>
          <w:szCs w:val="24"/>
        </w:rPr>
        <w:t xml:space="preserve"> notaires rédacteurs de l’acte ;</w:t>
      </w:r>
    </w:p>
    <w:p w14:paraId="2BB3C48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A86D6E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les époux Y... de Oliveira font grief à l’arrêt d’avoir inclus le montant des impôts fonciers, payés par eux sur le bien dont ils sont évincés, dans les dommages-intérêts alloués au titre de l’article 1630 du </w:t>
      </w:r>
      <w:r>
        <w:rPr>
          <w:rFonts w:ascii="Times New Roman" w:eastAsia="Times New Roman" w:hAnsi="Times New Roman" w:cs="Times New Roman"/>
          <w:sz w:val="24"/>
          <w:szCs w:val="24"/>
        </w:rPr>
        <w:t>Code civil, alors, selon le moyen, “ que le vendeur est tenu de rembourser à l’acquéreur évincé les impenses nécessaires à la conservation du bien et, en particulier, le montant des impôts fonciers ; qu’en opérant une confusion entre les indemnités dues au</w:t>
      </w:r>
      <w:r>
        <w:rPr>
          <w:rFonts w:ascii="Times New Roman" w:eastAsia="Times New Roman" w:hAnsi="Times New Roman" w:cs="Times New Roman"/>
          <w:sz w:val="24"/>
          <w:szCs w:val="24"/>
        </w:rPr>
        <w:t xml:space="preserve"> titre du remboursement des impenses nécessaires, et les dommages-intérêts compensatoires, la cour d’appel a méconnu les domaines respectifs des articles 1630, alinéa 4, et 1634 du Code civil “ ;</w:t>
      </w:r>
    </w:p>
    <w:p w14:paraId="11EFBC7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51E7C9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que le paiement des impôts fonciers n’entre p</w:t>
      </w:r>
      <w:r>
        <w:rPr>
          <w:rFonts w:ascii="Times New Roman" w:eastAsia="Times New Roman" w:hAnsi="Times New Roman" w:cs="Times New Roman"/>
          <w:sz w:val="24"/>
          <w:szCs w:val="24"/>
        </w:rPr>
        <w:t>as dans la catégorie des réparations et améliorations utiles pour la chose vendue ;</w:t>
      </w:r>
    </w:p>
    <w:p w14:paraId="6D9FB39B"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2BA24F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D’où il suit que le moyen n’est pas fondé ;</w:t>
      </w:r>
    </w:p>
    <w:p w14:paraId="5A28E1A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66DB2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sur le premier moyen :</w:t>
      </w:r>
    </w:p>
    <w:p w14:paraId="1DF151B0"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D7988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l’article 1382 du Code civil ;</w:t>
      </w:r>
    </w:p>
    <w:p w14:paraId="6303CA8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7DD2E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pour condamner les époux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de Oliveira à v</w:t>
      </w:r>
      <w:r>
        <w:rPr>
          <w:rFonts w:ascii="Times New Roman" w:eastAsia="Times New Roman" w:hAnsi="Times New Roman" w:cs="Times New Roman"/>
          <w:sz w:val="24"/>
          <w:szCs w:val="24"/>
        </w:rPr>
        <w:t xml:space="preserve">erser des dommages-intérêts aux consorts X... pour appel abusif, l’arrêt retient qu’en relevant appel pour ne faire valoir que les moyens qu’ils avaient déjà fait valoir devant les premiers juges et que ceux-ci avaient rejetés par des motifs pertinents et </w:t>
      </w:r>
      <w:r>
        <w:rPr>
          <w:rFonts w:ascii="Times New Roman" w:eastAsia="Times New Roman" w:hAnsi="Times New Roman" w:cs="Times New Roman"/>
          <w:sz w:val="24"/>
          <w:szCs w:val="24"/>
        </w:rPr>
        <w:t>explicites, les époux Y... de Oliveira ont fait dégénérer en abus leur droit d’exercer une voie de recours ;</w:t>
      </w:r>
    </w:p>
    <w:p w14:paraId="2D106EF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7DB00D"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Qu’en statuant par de tels motifs, qui ne caractérisent à la charge des époux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de Oliveira aucun abus du droit de saisir la juridiction du second degré pour statuer, en fait et en droit, sur la chose jugée en première instance, la cour d’appel n’a pas </w:t>
      </w:r>
      <w:r>
        <w:rPr>
          <w:rFonts w:ascii="Times New Roman" w:eastAsia="Times New Roman" w:hAnsi="Times New Roman" w:cs="Times New Roman"/>
          <w:sz w:val="24"/>
          <w:szCs w:val="24"/>
        </w:rPr>
        <w:t>donné de base légale à sa décision de ce chef ;</w:t>
      </w:r>
    </w:p>
    <w:p w14:paraId="72D7D702"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D606455"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sur le deuxième moyen :</w:t>
      </w:r>
    </w:p>
    <w:p w14:paraId="55F5ED6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6A1E1D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 l’article 1633 du Code civil ;</w:t>
      </w:r>
    </w:p>
    <w:p w14:paraId="1B629369"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FBDD87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si la chose vendue se trouve avoir augmenté de prix à l’époque de l’éviction, indépendamment même du fait de l’acquéreur, le vendeur est tenu de lui payer ce qu’elle vaut </w:t>
      </w:r>
      <w:r>
        <w:rPr>
          <w:rFonts w:ascii="Times New Roman" w:eastAsia="Times New Roman" w:hAnsi="Times New Roman" w:cs="Times New Roman"/>
          <w:sz w:val="24"/>
          <w:szCs w:val="24"/>
        </w:rPr>
        <w:lastRenderedPageBreak/>
        <w:t>au-dessus du prix de la vente ;</w:t>
      </w:r>
    </w:p>
    <w:p w14:paraId="21274034"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9D6C9F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pour écarter la demande de</w:t>
      </w:r>
      <w:r>
        <w:rPr>
          <w:rFonts w:ascii="Times New Roman" w:eastAsia="Times New Roman" w:hAnsi="Times New Roman" w:cs="Times New Roman"/>
          <w:sz w:val="24"/>
          <w:szCs w:val="24"/>
        </w:rPr>
        <w:t xml:space="preserve">s époux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de Oliveira tendant à faire apprécier, à la date de l’arrêt, l’indemnité due aux acquéreurs évincés du fait d’une augmentation du prix du terrain vendu, l’arrêt retient que les dommages-intérêts sont allouables à la date de l’éviction, soit le</w:t>
      </w:r>
      <w:r>
        <w:rPr>
          <w:rFonts w:ascii="Times New Roman" w:eastAsia="Times New Roman" w:hAnsi="Times New Roman" w:cs="Times New Roman"/>
          <w:sz w:val="24"/>
          <w:szCs w:val="24"/>
        </w:rPr>
        <w:t xml:space="preserve"> 23 novembre 1981, date de l’assignation initiale introductive d’instance ;</w:t>
      </w:r>
    </w:p>
    <w:p w14:paraId="400F79C6"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CBF87CF"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Qu’en statuant ainsi, alors que l’article 1633 du Code civil fait obligation au vendeur de payer ce que la chose vaut à la date de la décision constatant l’éviction, la cour d’ap</w:t>
      </w:r>
      <w:r>
        <w:rPr>
          <w:rFonts w:ascii="Times New Roman" w:eastAsia="Times New Roman" w:hAnsi="Times New Roman" w:cs="Times New Roman"/>
          <w:sz w:val="24"/>
          <w:szCs w:val="24"/>
        </w:rPr>
        <w:t>pel a violé le texte susvisé ;</w:t>
      </w:r>
    </w:p>
    <w:p w14:paraId="4AC9D2B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BA65B87"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MOTIFS, et sans qu’il y ait lieu de statuer sur le quatrième moyen :</w:t>
      </w:r>
    </w:p>
    <w:p w14:paraId="78120CBA"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77F2EBC" w14:textId="77777777" w:rsidR="0080796B" w:rsidRDefault="00EE6E7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CASSE ET ANNULE, mais seulement en ce qu’il condamne les époux Y... de Oliveira à verser des dommages-intérêts pour appel abusif aux consorts X.</w:t>
      </w:r>
      <w:r>
        <w:rPr>
          <w:rFonts w:ascii="Times New Roman" w:eastAsia="Times New Roman" w:hAnsi="Times New Roman" w:cs="Times New Roman"/>
          <w:sz w:val="24"/>
          <w:szCs w:val="24"/>
        </w:rPr>
        <w:t>.. et en ce qu’il statue sur le principal et les intérêts des sommes réclamées par les époux Y... de Oliveira, l’arrêt rendu le 12 janvier 1989, entre les parties, par la cour d’appel de Paris ; remet, en conséquence, quant à ce, la cause et les parties da</w:t>
      </w:r>
      <w:r>
        <w:rPr>
          <w:rFonts w:ascii="Times New Roman" w:eastAsia="Times New Roman" w:hAnsi="Times New Roman" w:cs="Times New Roman"/>
          <w:sz w:val="24"/>
          <w:szCs w:val="24"/>
        </w:rPr>
        <w:t>ns l’état où elles se trouvaient avant ledit arrêt et, pour être fait droit, les renvoie devant la cour d’appel d’Amiens.</w:t>
      </w:r>
    </w:p>
    <w:p w14:paraId="1530C32F" w14:textId="77777777" w:rsidR="0080796B" w:rsidRDefault="0080796B">
      <w:pPr>
        <w:widowControl w:val="0"/>
        <w:spacing w:after="0" w:line="240" w:lineRule="auto"/>
        <w:jc w:val="both"/>
        <w:rPr>
          <w:rFonts w:ascii="Times New Roman" w:eastAsia="Times New Roman" w:hAnsi="Times New Roman" w:cs="Times New Roman"/>
          <w:sz w:val="24"/>
          <w:szCs w:val="24"/>
        </w:rPr>
      </w:pPr>
    </w:p>
    <w:sectPr w:rsidR="008079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2315" w14:textId="77777777" w:rsidR="00000000" w:rsidRDefault="00EE6E72">
      <w:pPr>
        <w:spacing w:after="0" w:line="240" w:lineRule="auto"/>
      </w:pPr>
      <w:r>
        <w:separator/>
      </w:r>
    </w:p>
  </w:endnote>
  <w:endnote w:type="continuationSeparator" w:id="0">
    <w:p w14:paraId="78F8A3A6" w14:textId="77777777" w:rsidR="00000000" w:rsidRDefault="00EE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D25A" w14:textId="77777777" w:rsidR="0080796B" w:rsidRDefault="0080796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710D" w14:textId="77777777" w:rsidR="0080796B" w:rsidRDefault="00EE6E7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A414E">
      <w:rPr>
        <w:noProof/>
        <w:color w:val="000000"/>
      </w:rPr>
      <w:t>1</w:t>
    </w:r>
    <w:r>
      <w:rPr>
        <w:color w:val="000000"/>
      </w:rPr>
      <w:fldChar w:fldCharType="end"/>
    </w:r>
  </w:p>
  <w:p w14:paraId="6A27E074" w14:textId="77777777" w:rsidR="0080796B" w:rsidRDefault="0080796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4336" w14:textId="77777777" w:rsidR="0080796B" w:rsidRDefault="0080796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8874" w14:textId="77777777" w:rsidR="00000000" w:rsidRDefault="00EE6E72">
      <w:pPr>
        <w:spacing w:after="0" w:line="240" w:lineRule="auto"/>
      </w:pPr>
      <w:r>
        <w:separator/>
      </w:r>
    </w:p>
  </w:footnote>
  <w:footnote w:type="continuationSeparator" w:id="0">
    <w:p w14:paraId="2CE19445" w14:textId="77777777" w:rsidR="00000000" w:rsidRDefault="00EE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F39D" w14:textId="77777777" w:rsidR="0080796B" w:rsidRDefault="0080796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58A8" w14:textId="77777777" w:rsidR="0080796B" w:rsidRDefault="0080796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BCE0" w14:textId="77777777" w:rsidR="0080796B" w:rsidRDefault="0080796B">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80796B"/>
    <w:rsid w:val="00CA414E"/>
    <w:rsid w:val="00EE6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AD64"/>
  <w15:docId w15:val="{65B10C34-1D77-4698-9C99-A0CB6C6A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spacing w:after="0" w:line="240" w:lineRule="auto"/>
      <w:jc w:val="center"/>
      <w:outlineLvl w:val="3"/>
    </w:pPr>
    <w:rPr>
      <w:rFonts w:ascii="Times New Roman" w:eastAsia="Times New Roman" w:hAnsi="Times New Roman" w:cs="Times New Roman"/>
      <w:b/>
      <w:sz w:val="32"/>
      <w:szCs w:val="32"/>
    </w:rPr>
  </w:style>
  <w:style w:type="paragraph" w:styleId="Titre5">
    <w:name w:val="heading 5"/>
    <w:basedOn w:val="Normal"/>
    <w:next w:val="Normal"/>
    <w:uiPriority w:val="9"/>
    <w:semiHidden/>
    <w:unhideWhenUsed/>
    <w:qFormat/>
    <w:pPr>
      <w:keepNext/>
      <w:spacing w:after="0" w:line="240" w:lineRule="auto"/>
      <w:jc w:val="center"/>
      <w:outlineLvl w:val="4"/>
    </w:pPr>
    <w:rPr>
      <w:rFonts w:ascii="Garamond" w:eastAsia="Garamond" w:hAnsi="Garamond" w:cs="Garamond"/>
      <w:b/>
      <w:sz w:val="28"/>
      <w:szCs w:val="28"/>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5265</Words>
  <Characters>30011</Characters>
  <Application>Microsoft Office Word</Application>
  <DocSecurity>0</DocSecurity>
  <Lines>250</Lines>
  <Paragraphs>70</Paragraphs>
  <ScaleCrop>false</ScaleCrop>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hp</cp:lastModifiedBy>
  <cp:revision>2</cp:revision>
  <dcterms:created xsi:type="dcterms:W3CDTF">2023-09-25T06:50:00Z</dcterms:created>
  <dcterms:modified xsi:type="dcterms:W3CDTF">2023-09-25T06:50:00Z</dcterms:modified>
</cp:coreProperties>
</file>